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F2884">
      <w:pPr>
        <w:spacing w:line="600" w:lineRule="exact"/>
        <w:jc w:val="center"/>
        <w:rPr>
          <w:rFonts w:ascii="华文中宋" w:hAnsi="华文中宋" w:eastAsia="华文中宋"/>
          <w:b/>
          <w:sz w:val="36"/>
          <w:szCs w:val="36"/>
        </w:rPr>
      </w:pPr>
      <w:bookmarkStart w:id="0" w:name="_GoBack"/>
      <w:r>
        <w:rPr>
          <w:rFonts w:hint="eastAsia" w:ascii="华文中宋" w:hAnsi="华文中宋" w:eastAsia="华文中宋"/>
          <w:b/>
          <w:sz w:val="36"/>
          <w:szCs w:val="36"/>
        </w:rPr>
        <w:t>关于公示20</w:t>
      </w:r>
      <w:r>
        <w:rPr>
          <w:rFonts w:ascii="华文中宋" w:hAnsi="华文中宋" w:eastAsia="华文中宋"/>
          <w:b/>
          <w:sz w:val="36"/>
          <w:szCs w:val="36"/>
        </w:rPr>
        <w:t>26</w:t>
      </w:r>
      <w:r>
        <w:rPr>
          <w:rFonts w:hint="eastAsia" w:ascii="华文中宋" w:hAnsi="华文中宋" w:eastAsia="华文中宋"/>
          <w:b/>
          <w:sz w:val="36"/>
          <w:szCs w:val="36"/>
        </w:rPr>
        <w:t>年全国大学生统计建模大赛</w:t>
      </w:r>
    </w:p>
    <w:p w14:paraId="28F221A0">
      <w:pPr>
        <w:spacing w:line="600" w:lineRule="exact"/>
        <w:jc w:val="center"/>
        <w:rPr>
          <w:rFonts w:ascii="华文中宋" w:hAnsi="华文中宋" w:eastAsia="华文中宋"/>
          <w:b/>
          <w:sz w:val="36"/>
          <w:szCs w:val="36"/>
        </w:rPr>
      </w:pPr>
      <w:r>
        <w:rPr>
          <w:rFonts w:hint="eastAsia" w:ascii="华文中宋" w:hAnsi="华文中宋" w:eastAsia="华文中宋"/>
          <w:b/>
          <w:sz w:val="36"/>
          <w:szCs w:val="36"/>
        </w:rPr>
        <w:t xml:space="preserve">北京交通大学本科生校内选拔赛评审结果的通知 </w:t>
      </w:r>
    </w:p>
    <w:p w14:paraId="6C00D083">
      <w:pPr>
        <w:spacing w:line="600" w:lineRule="exact"/>
        <w:jc w:val="center"/>
        <w:rPr>
          <w:rFonts w:ascii="方正小标宋简体" w:eastAsia="方正小标宋简体"/>
          <w:b/>
          <w:sz w:val="44"/>
          <w:szCs w:val="44"/>
        </w:rPr>
      </w:pPr>
      <w:r>
        <w:rPr>
          <w:rFonts w:hint="eastAsia" w:ascii="方正小标宋简体" w:eastAsia="方正小标宋简体"/>
          <w:b/>
          <w:sz w:val="44"/>
          <w:szCs w:val="44"/>
        </w:rPr>
        <w:t xml:space="preserve"> </w:t>
      </w:r>
    </w:p>
    <w:p w14:paraId="764C262D">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由北京交通大学大学生统计建模大赛组委会主办、数学与统计学院承办的20</w:t>
      </w:r>
      <w:r>
        <w:rPr>
          <w:rFonts w:ascii="仿宋_GB2312" w:hAnsi="宋体" w:eastAsia="仿宋_GB2312"/>
          <w:sz w:val="28"/>
          <w:szCs w:val="28"/>
        </w:rPr>
        <w:t>26</w:t>
      </w:r>
      <w:r>
        <w:rPr>
          <w:rFonts w:hint="eastAsia" w:ascii="仿宋_GB2312" w:hAnsi="宋体" w:eastAsia="仿宋_GB2312"/>
          <w:sz w:val="28"/>
          <w:szCs w:val="28"/>
        </w:rPr>
        <w:t>年全国大学生统计建模大赛北京交通大学本科生校内选拔赛评审工作已经结束。本次大赛吸引了全校8</w:t>
      </w:r>
      <w:r>
        <w:rPr>
          <w:rFonts w:ascii="仿宋_GB2312" w:hAnsi="宋体" w:eastAsia="仿宋_GB2312"/>
          <w:sz w:val="28"/>
          <w:szCs w:val="28"/>
        </w:rPr>
        <w:t>5</w:t>
      </w:r>
      <w:r>
        <w:rPr>
          <w:rFonts w:hint="eastAsia" w:ascii="仿宋_GB2312" w:hAnsi="宋体" w:eastAsia="仿宋_GB2312"/>
          <w:sz w:val="28"/>
          <w:szCs w:val="28"/>
        </w:rPr>
        <w:t>支参赛队伍(共计2</w:t>
      </w:r>
      <w:r>
        <w:rPr>
          <w:rFonts w:ascii="仿宋_GB2312" w:hAnsi="宋体" w:eastAsia="仿宋_GB2312"/>
          <w:sz w:val="28"/>
          <w:szCs w:val="28"/>
        </w:rPr>
        <w:t>55</w:t>
      </w:r>
      <w:r>
        <w:rPr>
          <w:rFonts w:hint="eastAsia" w:ascii="仿宋_GB2312" w:hAnsi="宋体" w:eastAsia="仿宋_GB2312"/>
          <w:sz w:val="28"/>
          <w:szCs w:val="28"/>
        </w:rPr>
        <w:t>名学生)的积极参与。经过大赛评审专家组评审、组委会审定，共评选出</w:t>
      </w:r>
      <w:r>
        <w:rPr>
          <w:rFonts w:hint="eastAsia" w:ascii="仿宋_GB2312" w:hAnsi="宋体" w:eastAsia="仿宋_GB2312"/>
          <w:sz w:val="28"/>
          <w:szCs w:val="28"/>
          <w:lang w:val="en-US" w:eastAsia="zh-CN"/>
        </w:rPr>
        <w:t>43</w:t>
      </w:r>
      <w:r>
        <w:rPr>
          <w:rFonts w:hint="eastAsia" w:ascii="仿宋_GB2312" w:hAnsi="宋体" w:eastAsia="仿宋_GB2312"/>
          <w:sz w:val="28"/>
          <w:szCs w:val="28"/>
        </w:rPr>
        <w:t>项优秀获奖论文，其中：一等奖9项(</w:t>
      </w:r>
      <w:r>
        <w:rPr>
          <w:rFonts w:ascii="仿宋_GB2312" w:hAnsi="宋体" w:eastAsia="仿宋_GB2312"/>
          <w:sz w:val="28"/>
          <w:szCs w:val="28"/>
        </w:rPr>
        <w:t>27</w:t>
      </w:r>
      <w:r>
        <w:rPr>
          <w:rFonts w:hint="eastAsia" w:ascii="仿宋_GB2312" w:hAnsi="宋体" w:eastAsia="仿宋_GB2312"/>
          <w:sz w:val="28"/>
          <w:szCs w:val="28"/>
        </w:rPr>
        <w:t>人)、二等奖1</w:t>
      </w:r>
      <w:r>
        <w:rPr>
          <w:rFonts w:ascii="仿宋_GB2312" w:hAnsi="宋体" w:eastAsia="仿宋_GB2312"/>
          <w:sz w:val="28"/>
          <w:szCs w:val="28"/>
        </w:rPr>
        <w:t>7</w:t>
      </w:r>
      <w:r>
        <w:rPr>
          <w:rFonts w:hint="eastAsia" w:ascii="仿宋_GB2312" w:hAnsi="宋体" w:eastAsia="仿宋_GB2312"/>
          <w:sz w:val="28"/>
          <w:szCs w:val="28"/>
        </w:rPr>
        <w:t>项(</w:t>
      </w:r>
      <w:r>
        <w:rPr>
          <w:rFonts w:ascii="仿宋_GB2312" w:hAnsi="宋体" w:eastAsia="仿宋_GB2312"/>
          <w:sz w:val="28"/>
          <w:szCs w:val="28"/>
        </w:rPr>
        <w:t>51</w:t>
      </w:r>
      <w:r>
        <w:rPr>
          <w:rFonts w:hint="eastAsia" w:ascii="仿宋_GB2312" w:hAnsi="宋体" w:eastAsia="仿宋_GB2312"/>
          <w:sz w:val="28"/>
          <w:szCs w:val="28"/>
        </w:rPr>
        <w:t>人)、三等奖1</w:t>
      </w:r>
      <w:r>
        <w:rPr>
          <w:rFonts w:ascii="仿宋_GB2312" w:hAnsi="宋体" w:eastAsia="仿宋_GB2312"/>
          <w:sz w:val="28"/>
          <w:szCs w:val="28"/>
        </w:rPr>
        <w:t>7</w:t>
      </w:r>
      <w:r>
        <w:rPr>
          <w:rFonts w:hint="eastAsia" w:ascii="仿宋_GB2312" w:hAnsi="宋体" w:eastAsia="仿宋_GB2312"/>
          <w:sz w:val="28"/>
          <w:szCs w:val="28"/>
        </w:rPr>
        <w:t>项(</w:t>
      </w:r>
      <w:r>
        <w:rPr>
          <w:rFonts w:ascii="仿宋_GB2312" w:hAnsi="宋体" w:eastAsia="仿宋_GB2312"/>
          <w:sz w:val="28"/>
          <w:szCs w:val="28"/>
        </w:rPr>
        <w:t>51</w:t>
      </w:r>
      <w:r>
        <w:rPr>
          <w:rFonts w:hint="eastAsia" w:ascii="仿宋_GB2312" w:hAnsi="宋体" w:eastAsia="仿宋_GB2312"/>
          <w:sz w:val="28"/>
          <w:szCs w:val="28"/>
        </w:rPr>
        <w:t>人)。具体获奖名单详见附件，现将评审结果予以公示。</w:t>
      </w:r>
    </w:p>
    <w:p w14:paraId="62617E76">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公示时间为20</w:t>
      </w:r>
      <w:r>
        <w:rPr>
          <w:rFonts w:ascii="仿宋_GB2312" w:hAnsi="宋体" w:eastAsia="仿宋_GB2312"/>
          <w:sz w:val="28"/>
          <w:szCs w:val="28"/>
        </w:rPr>
        <w:t>26</w:t>
      </w:r>
      <w:r>
        <w:rPr>
          <w:rFonts w:hint="eastAsia" w:ascii="仿宋_GB2312" w:hAnsi="宋体" w:eastAsia="仿宋_GB2312"/>
          <w:sz w:val="28"/>
          <w:szCs w:val="28"/>
        </w:rPr>
        <w:t>年5月</w:t>
      </w:r>
      <w:r>
        <w:rPr>
          <w:rFonts w:ascii="仿宋_GB2312" w:hAnsi="宋体" w:eastAsia="仿宋_GB2312"/>
          <w:sz w:val="28"/>
          <w:szCs w:val="28"/>
        </w:rPr>
        <w:t>13</w:t>
      </w:r>
      <w:r>
        <w:rPr>
          <w:rFonts w:hint="eastAsia" w:ascii="仿宋_GB2312" w:hAnsi="宋体" w:eastAsia="仿宋_GB2312"/>
          <w:sz w:val="28"/>
          <w:szCs w:val="28"/>
        </w:rPr>
        <w:t>日至5月1</w:t>
      </w:r>
      <w:r>
        <w:rPr>
          <w:rFonts w:ascii="仿宋_GB2312" w:hAnsi="宋体" w:eastAsia="仿宋_GB2312"/>
          <w:sz w:val="28"/>
          <w:szCs w:val="28"/>
        </w:rPr>
        <w:t>7</w:t>
      </w:r>
      <w:r>
        <w:rPr>
          <w:rFonts w:hint="eastAsia" w:ascii="仿宋_GB2312" w:hAnsi="宋体" w:eastAsia="仿宋_GB2312"/>
          <w:sz w:val="28"/>
          <w:szCs w:val="28"/>
        </w:rPr>
        <w:t>日，如有意见和建议，敬请您署真实姓名并以书面形式与我们联系，我们将认真听取，妥善处理。</w:t>
      </w:r>
    </w:p>
    <w:p w14:paraId="513D6748">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联 系 人：孙智宇</w:t>
      </w:r>
    </w:p>
    <w:p w14:paraId="3BB01D02">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电    话：0</w:t>
      </w:r>
      <w:r>
        <w:rPr>
          <w:rFonts w:ascii="仿宋_GB2312" w:hAnsi="宋体" w:eastAsia="仿宋_GB2312"/>
          <w:sz w:val="28"/>
          <w:szCs w:val="28"/>
        </w:rPr>
        <w:t>10-</w:t>
      </w:r>
      <w:r>
        <w:rPr>
          <w:rFonts w:hint="eastAsia" w:ascii="仿宋_GB2312" w:hAnsi="宋体" w:eastAsia="仿宋_GB2312"/>
          <w:sz w:val="28"/>
          <w:szCs w:val="28"/>
        </w:rPr>
        <w:t>5168</w:t>
      </w:r>
      <w:r>
        <w:rPr>
          <w:rFonts w:ascii="仿宋_GB2312" w:hAnsi="宋体" w:eastAsia="仿宋_GB2312"/>
          <w:sz w:val="28"/>
          <w:szCs w:val="28"/>
        </w:rPr>
        <w:t>8007</w:t>
      </w:r>
    </w:p>
    <w:p w14:paraId="66D2EFA4">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邮箱地址：</w:t>
      </w:r>
      <w:r>
        <w:fldChar w:fldCharType="begin"/>
      </w:r>
      <w:r>
        <w:instrText xml:space="preserve"> HYPERLINK "mailto:szy@bjtu.edu.cn" </w:instrText>
      </w:r>
      <w:r>
        <w:fldChar w:fldCharType="separate"/>
      </w:r>
      <w:r>
        <w:rPr>
          <w:rStyle w:val="11"/>
          <w:rFonts w:hAnsi="宋体"/>
          <w:sz w:val="28"/>
          <w:szCs w:val="28"/>
        </w:rPr>
        <w:t>szy</w:t>
      </w:r>
      <w:r>
        <w:rPr>
          <w:rStyle w:val="11"/>
          <w:rFonts w:hint="eastAsia" w:hAnsi="宋体"/>
          <w:sz w:val="28"/>
          <w:szCs w:val="28"/>
        </w:rPr>
        <w:t>@bjtu.edu.cn</w:t>
      </w:r>
      <w:r>
        <w:rPr>
          <w:rStyle w:val="11"/>
          <w:rFonts w:hint="eastAsia" w:hAnsi="宋体"/>
          <w:sz w:val="28"/>
          <w:szCs w:val="28"/>
        </w:rPr>
        <w:fldChar w:fldCharType="end"/>
      </w:r>
    </w:p>
    <w:p w14:paraId="72D70C07">
      <w:pPr>
        <w:spacing w:line="360" w:lineRule="auto"/>
        <w:ind w:firstLine="420" w:firstLineChars="150"/>
        <w:rPr>
          <w:rFonts w:ascii="仿宋_GB2312" w:hAnsi="宋体" w:eastAsia="仿宋_GB2312"/>
          <w:sz w:val="28"/>
          <w:szCs w:val="28"/>
        </w:rPr>
      </w:pPr>
      <w:r>
        <w:rPr>
          <w:rFonts w:hint="eastAsia" w:ascii="仿宋_GB2312" w:hAnsi="宋体" w:eastAsia="仿宋_GB2312"/>
          <w:sz w:val="28"/>
          <w:szCs w:val="28"/>
        </w:rPr>
        <w:t>附件：20</w:t>
      </w:r>
      <w:r>
        <w:rPr>
          <w:rFonts w:ascii="仿宋_GB2312" w:hAnsi="宋体" w:eastAsia="仿宋_GB2312"/>
          <w:sz w:val="28"/>
          <w:szCs w:val="28"/>
        </w:rPr>
        <w:t>26</w:t>
      </w:r>
      <w:r>
        <w:rPr>
          <w:rFonts w:hint="eastAsia" w:ascii="仿宋_GB2312" w:hAnsi="宋体" w:eastAsia="仿宋_GB2312"/>
          <w:sz w:val="28"/>
          <w:szCs w:val="28"/>
        </w:rPr>
        <w:t>年全国大学生统计建模大赛北京交通大学校内选拔赛获奖名单</w:t>
      </w:r>
    </w:p>
    <w:p w14:paraId="3EF569F2">
      <w:pPr>
        <w:spacing w:line="600" w:lineRule="exact"/>
        <w:ind w:firstLine="5600" w:firstLineChars="2000"/>
        <w:rPr>
          <w:rFonts w:ascii="仿宋_GB2312" w:hAnsi="宋体" w:eastAsia="仿宋_GB2312"/>
          <w:sz w:val="28"/>
          <w:szCs w:val="28"/>
        </w:rPr>
      </w:pPr>
      <w:r>
        <w:rPr>
          <w:rFonts w:hint="eastAsia" w:ascii="仿宋_GB2312" w:hAnsi="宋体" w:eastAsia="仿宋_GB2312"/>
          <w:sz w:val="28"/>
          <w:szCs w:val="28"/>
        </w:rPr>
        <w:t>北京交通大学</w:t>
      </w:r>
    </w:p>
    <w:p w14:paraId="67EE3710">
      <w:pPr>
        <w:spacing w:line="600" w:lineRule="exact"/>
        <w:jc w:val="center"/>
        <w:rPr>
          <w:rFonts w:ascii="仿宋_GB2312" w:hAnsi="宋体" w:eastAsia="仿宋_GB2312"/>
          <w:sz w:val="28"/>
          <w:szCs w:val="28"/>
        </w:rPr>
      </w:pPr>
      <w:r>
        <w:rPr>
          <w:rFonts w:hint="eastAsia" w:ascii="仿宋_GB2312" w:hAnsi="宋体" w:eastAsia="仿宋_GB2312"/>
          <w:sz w:val="28"/>
          <w:szCs w:val="28"/>
        </w:rPr>
        <w:t xml:space="preserve">                               大学生统计建模大赛组委会  </w:t>
      </w:r>
    </w:p>
    <w:p w14:paraId="38C34BF6">
      <w:pPr>
        <w:spacing w:line="600" w:lineRule="exact"/>
        <w:jc w:val="center"/>
        <w:rPr>
          <w:rFonts w:ascii="仿宋_GB2312" w:hAnsi="宋体" w:eastAsia="仿宋_GB2312"/>
          <w:sz w:val="28"/>
          <w:szCs w:val="28"/>
        </w:rPr>
      </w:pPr>
      <w:r>
        <w:rPr>
          <w:rFonts w:hint="eastAsia" w:ascii="仿宋_GB2312" w:hAnsi="宋体" w:eastAsia="仿宋_GB2312"/>
          <w:sz w:val="28"/>
          <w:szCs w:val="28"/>
        </w:rPr>
        <w:t xml:space="preserve">                                20</w:t>
      </w:r>
      <w:r>
        <w:rPr>
          <w:rFonts w:ascii="仿宋_GB2312" w:hAnsi="宋体" w:eastAsia="仿宋_GB2312"/>
          <w:sz w:val="28"/>
          <w:szCs w:val="28"/>
        </w:rPr>
        <w:t>26</w:t>
      </w:r>
      <w:r>
        <w:rPr>
          <w:rFonts w:hint="eastAsia" w:ascii="仿宋_GB2312" w:hAnsi="宋体" w:eastAsia="仿宋_GB2312"/>
          <w:sz w:val="28"/>
          <w:szCs w:val="28"/>
        </w:rPr>
        <w:t>年5月1</w:t>
      </w:r>
      <w:r>
        <w:rPr>
          <w:rFonts w:hint="eastAsia" w:ascii="仿宋_GB2312" w:hAnsi="宋体" w:eastAsia="仿宋_GB2312"/>
          <w:sz w:val="28"/>
          <w:szCs w:val="28"/>
          <w:lang w:val="en-US" w:eastAsia="zh-CN"/>
        </w:rPr>
        <w:t>3</w:t>
      </w:r>
      <w:r>
        <w:rPr>
          <w:rFonts w:hint="eastAsia" w:ascii="仿宋_GB2312" w:hAnsi="宋体" w:eastAsia="仿宋_GB2312"/>
          <w:sz w:val="28"/>
          <w:szCs w:val="28"/>
        </w:rPr>
        <w:t>日</w:t>
      </w:r>
    </w:p>
    <w:p w14:paraId="3745EC77">
      <w:pPr>
        <w:widowControl/>
        <w:rPr>
          <w:rFonts w:ascii="仿宋_GB2312" w:hAnsi="宋体" w:eastAsia="仿宋_GB2312"/>
          <w:sz w:val="28"/>
          <w:szCs w:val="28"/>
        </w:rPr>
      </w:pPr>
      <w:r>
        <w:rPr>
          <w:rFonts w:ascii="仿宋_GB2312" w:hAnsi="宋体" w:eastAsia="仿宋_GB2312"/>
          <w:sz w:val="28"/>
          <w:szCs w:val="28"/>
        </w:rPr>
        <w:br w:type="page"/>
      </w:r>
    </w:p>
    <w:p w14:paraId="108D71BE">
      <w:pPr>
        <w:rPr>
          <w:rFonts w:ascii="仿宋_GB2312" w:hAnsi="宋体" w:eastAsia="仿宋_GB2312"/>
          <w:sz w:val="28"/>
          <w:szCs w:val="28"/>
        </w:rPr>
      </w:pPr>
      <w:r>
        <w:rPr>
          <w:rFonts w:hint="eastAsia" w:ascii="仿宋_GB2312" w:hAnsi="宋体" w:eastAsia="仿宋_GB2312"/>
          <w:sz w:val="28"/>
          <w:szCs w:val="28"/>
        </w:rPr>
        <w:t>附件：</w:t>
      </w:r>
    </w:p>
    <w:p w14:paraId="1D5137B4">
      <w:pPr>
        <w:autoSpaceDE/>
        <w:autoSpaceDN/>
        <w:adjustRightInd/>
        <w:spacing w:before="240" w:before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20</w:t>
      </w:r>
      <w:r>
        <w:rPr>
          <w:rFonts w:ascii="方正小标宋简体" w:hAnsi="华文中宋" w:eastAsia="方正小标宋简体"/>
          <w:kern w:val="2"/>
          <w:sz w:val="32"/>
          <w:szCs w:val="32"/>
        </w:rPr>
        <w:t>26</w:t>
      </w:r>
      <w:r>
        <w:rPr>
          <w:rFonts w:hint="eastAsia" w:ascii="方正小标宋简体" w:hAnsi="华文中宋" w:eastAsia="方正小标宋简体"/>
          <w:kern w:val="2"/>
          <w:sz w:val="32"/>
          <w:szCs w:val="32"/>
        </w:rPr>
        <w:t>年全国大学生统计建模大赛北京交通大学</w:t>
      </w:r>
    </w:p>
    <w:p w14:paraId="68981FC9">
      <w:pPr>
        <w:autoSpaceDE/>
        <w:autoSpaceDN/>
        <w:adjustRightInd/>
        <w:spacing w:before="120" w:beforeLines="50" w:after="240" w:after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校内选拔赛获奖名单</w:t>
      </w:r>
    </w:p>
    <w:p w14:paraId="0FFD76F2">
      <w:pPr>
        <w:autoSpaceDE/>
        <w:autoSpaceDN/>
        <w:adjustRightInd/>
        <w:spacing w:before="120" w:beforeLines="50" w:after="240" w:afterLines="100"/>
        <w:jc w:val="center"/>
        <w:rPr>
          <w:rFonts w:ascii="方正小标宋简体" w:hAnsi="华文中宋" w:eastAsia="方正小标宋简体"/>
          <w:kern w:val="2"/>
          <w:sz w:val="32"/>
          <w:szCs w:val="32"/>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988"/>
        <w:gridCol w:w="3514"/>
        <w:gridCol w:w="1417"/>
        <w:gridCol w:w="1336"/>
        <w:gridCol w:w="1085"/>
      </w:tblGrid>
      <w:tr w14:paraId="65B1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31317DC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序号</w:t>
            </w:r>
          </w:p>
        </w:tc>
        <w:tc>
          <w:tcPr>
            <w:tcW w:w="988" w:type="dxa"/>
            <w:noWrap/>
            <w:vAlign w:val="center"/>
          </w:tcPr>
          <w:p w14:paraId="0CFFFD4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获奖</w:t>
            </w:r>
          </w:p>
          <w:p w14:paraId="52B38FC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等级</w:t>
            </w:r>
          </w:p>
        </w:tc>
        <w:tc>
          <w:tcPr>
            <w:tcW w:w="3514" w:type="dxa"/>
            <w:noWrap/>
            <w:vAlign w:val="center"/>
          </w:tcPr>
          <w:p w14:paraId="4DA0175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作品名称</w:t>
            </w:r>
          </w:p>
        </w:tc>
        <w:tc>
          <w:tcPr>
            <w:tcW w:w="1417" w:type="dxa"/>
            <w:noWrap/>
            <w:vAlign w:val="center"/>
          </w:tcPr>
          <w:p w14:paraId="11AB5D9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参赛组长</w:t>
            </w:r>
          </w:p>
        </w:tc>
        <w:tc>
          <w:tcPr>
            <w:tcW w:w="1336" w:type="dxa"/>
            <w:noWrap/>
            <w:vAlign w:val="center"/>
          </w:tcPr>
          <w:p w14:paraId="7632113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参赛成员</w:t>
            </w:r>
          </w:p>
        </w:tc>
        <w:tc>
          <w:tcPr>
            <w:tcW w:w="1085" w:type="dxa"/>
            <w:noWrap/>
            <w:vAlign w:val="center"/>
          </w:tcPr>
          <w:p w14:paraId="79CA6C8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参赛成员</w:t>
            </w:r>
          </w:p>
        </w:tc>
      </w:tr>
      <w:tr w14:paraId="1F65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5ED6757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w:t>
            </w:r>
          </w:p>
        </w:tc>
        <w:tc>
          <w:tcPr>
            <w:tcW w:w="988" w:type="dxa"/>
            <w:noWrap/>
            <w:vAlign w:val="center"/>
          </w:tcPr>
          <w:p w14:paraId="64660A2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39A19BB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乡村振兴视角下山东省典型县域人居环境整治成效测度、类型识别与障碍诊断研究</w:t>
            </w:r>
          </w:p>
        </w:tc>
        <w:tc>
          <w:tcPr>
            <w:tcW w:w="1417" w:type="dxa"/>
            <w:noWrap/>
            <w:vAlign w:val="center"/>
          </w:tcPr>
          <w:p w14:paraId="07E0ACB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张紫琳</w:t>
            </w:r>
          </w:p>
        </w:tc>
        <w:tc>
          <w:tcPr>
            <w:tcW w:w="1336" w:type="dxa"/>
            <w:noWrap/>
            <w:vAlign w:val="center"/>
          </w:tcPr>
          <w:p w14:paraId="514F3A3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张思雨</w:t>
            </w:r>
          </w:p>
        </w:tc>
        <w:tc>
          <w:tcPr>
            <w:tcW w:w="1085" w:type="dxa"/>
            <w:noWrap/>
            <w:vAlign w:val="center"/>
          </w:tcPr>
          <w:p w14:paraId="6778C68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杨文旭</w:t>
            </w:r>
          </w:p>
        </w:tc>
      </w:tr>
      <w:tr w14:paraId="1BB7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3125BA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w:t>
            </w:r>
          </w:p>
        </w:tc>
        <w:tc>
          <w:tcPr>
            <w:tcW w:w="988" w:type="dxa"/>
            <w:noWrap/>
            <w:vAlign w:val="center"/>
          </w:tcPr>
          <w:p w14:paraId="4252000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5ED83D3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知识普及还是素养转化？——基于机器学习与计量模型融合的中老年人中医药健康行为影响机制及精准干预研究</w:t>
            </w:r>
          </w:p>
        </w:tc>
        <w:tc>
          <w:tcPr>
            <w:tcW w:w="1417" w:type="dxa"/>
            <w:noWrap/>
            <w:vAlign w:val="center"/>
          </w:tcPr>
          <w:p w14:paraId="28B1996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吴婧</w:t>
            </w:r>
          </w:p>
        </w:tc>
        <w:tc>
          <w:tcPr>
            <w:tcW w:w="1336" w:type="dxa"/>
            <w:noWrap/>
            <w:vAlign w:val="center"/>
          </w:tcPr>
          <w:p w14:paraId="4056311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高亚倩</w:t>
            </w:r>
          </w:p>
        </w:tc>
        <w:tc>
          <w:tcPr>
            <w:tcW w:w="1085" w:type="dxa"/>
            <w:noWrap/>
            <w:vAlign w:val="center"/>
          </w:tcPr>
          <w:p w14:paraId="45A6668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刘萍雅</w:t>
            </w:r>
          </w:p>
        </w:tc>
      </w:tr>
      <w:tr w14:paraId="4430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78011E4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w:t>
            </w:r>
          </w:p>
        </w:tc>
        <w:tc>
          <w:tcPr>
            <w:tcW w:w="988" w:type="dxa"/>
            <w:noWrap/>
            <w:vAlign w:val="center"/>
          </w:tcPr>
          <w:p w14:paraId="5DF41AD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78B6335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“灾后补偿”还是“事前防线”？极端气候下玉米生产韧性的测度与Stacking集成预警——基于北方15省面板数据的实证分析</w:t>
            </w:r>
          </w:p>
        </w:tc>
        <w:tc>
          <w:tcPr>
            <w:tcW w:w="1417" w:type="dxa"/>
            <w:noWrap/>
            <w:vAlign w:val="center"/>
          </w:tcPr>
          <w:p w14:paraId="00DBB7B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孟令智</w:t>
            </w:r>
          </w:p>
        </w:tc>
        <w:tc>
          <w:tcPr>
            <w:tcW w:w="1336" w:type="dxa"/>
            <w:noWrap/>
            <w:vAlign w:val="center"/>
          </w:tcPr>
          <w:p w14:paraId="0824BDA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凌培杰</w:t>
            </w:r>
          </w:p>
        </w:tc>
        <w:tc>
          <w:tcPr>
            <w:tcW w:w="1085" w:type="dxa"/>
            <w:noWrap/>
            <w:vAlign w:val="center"/>
          </w:tcPr>
          <w:p w14:paraId="048D84E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萧云飞</w:t>
            </w:r>
          </w:p>
        </w:tc>
      </w:tr>
      <w:tr w14:paraId="4653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0236794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4</w:t>
            </w:r>
          </w:p>
        </w:tc>
        <w:tc>
          <w:tcPr>
            <w:tcW w:w="988" w:type="dxa"/>
            <w:noWrap/>
            <w:vAlign w:val="center"/>
          </w:tcPr>
          <w:p w14:paraId="7ED7119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1BCB0A0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群像分型·市场预测·信任传导——轻养生购买意愿的三维机制实证研究</w:t>
            </w:r>
          </w:p>
        </w:tc>
        <w:tc>
          <w:tcPr>
            <w:tcW w:w="1417" w:type="dxa"/>
            <w:noWrap/>
            <w:vAlign w:val="center"/>
          </w:tcPr>
          <w:p w14:paraId="574B96A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刘明辉</w:t>
            </w:r>
          </w:p>
        </w:tc>
        <w:tc>
          <w:tcPr>
            <w:tcW w:w="1336" w:type="dxa"/>
            <w:noWrap/>
            <w:vAlign w:val="center"/>
          </w:tcPr>
          <w:p w14:paraId="09DFCA7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赵梓晗</w:t>
            </w:r>
          </w:p>
        </w:tc>
        <w:tc>
          <w:tcPr>
            <w:tcW w:w="1085" w:type="dxa"/>
            <w:noWrap/>
            <w:vAlign w:val="center"/>
          </w:tcPr>
          <w:p w14:paraId="6967988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张斓</w:t>
            </w:r>
            <w:r>
              <w:rPr>
                <w:rFonts w:hint="eastAsia" w:ascii="宋体" w:hAnsi="宋体" w:cs="宋体"/>
                <w:kern w:val="2"/>
                <w:sz w:val="21"/>
                <w:szCs w:val="21"/>
              </w:rPr>
              <w:t>爔</w:t>
            </w:r>
          </w:p>
        </w:tc>
      </w:tr>
      <w:tr w14:paraId="5B9C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715185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5</w:t>
            </w:r>
          </w:p>
        </w:tc>
        <w:tc>
          <w:tcPr>
            <w:tcW w:w="988" w:type="dxa"/>
            <w:noWrap/>
            <w:vAlign w:val="center"/>
          </w:tcPr>
          <w:p w14:paraId="1F530F8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5088878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新质生产力冲击下的“人-产”错配与重构：AI大模型对高校毕业生就业质量的异质性影响及区域产业匹配优化</w:t>
            </w:r>
          </w:p>
        </w:tc>
        <w:tc>
          <w:tcPr>
            <w:tcW w:w="1417" w:type="dxa"/>
            <w:noWrap/>
            <w:vAlign w:val="center"/>
          </w:tcPr>
          <w:p w14:paraId="20C4818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王悠然</w:t>
            </w:r>
          </w:p>
        </w:tc>
        <w:tc>
          <w:tcPr>
            <w:tcW w:w="1336" w:type="dxa"/>
            <w:noWrap/>
            <w:vAlign w:val="center"/>
          </w:tcPr>
          <w:p w14:paraId="2DA96A4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王毓琪</w:t>
            </w:r>
          </w:p>
        </w:tc>
        <w:tc>
          <w:tcPr>
            <w:tcW w:w="1085" w:type="dxa"/>
            <w:noWrap/>
            <w:vAlign w:val="center"/>
          </w:tcPr>
          <w:p w14:paraId="575E66D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郭美瑶</w:t>
            </w:r>
          </w:p>
        </w:tc>
      </w:tr>
      <w:tr w14:paraId="79E1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232E760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6</w:t>
            </w:r>
          </w:p>
        </w:tc>
        <w:tc>
          <w:tcPr>
            <w:tcW w:w="988" w:type="dxa"/>
            <w:noWrap/>
            <w:vAlign w:val="center"/>
          </w:tcPr>
          <w:p w14:paraId="4871FC5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57E9CE9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海南封关之“风向标”：基于双贝叶斯模型（BSC-BSTS）与全流程检验的政策效能评估以及未来推演</w:t>
            </w:r>
          </w:p>
        </w:tc>
        <w:tc>
          <w:tcPr>
            <w:tcW w:w="1417" w:type="dxa"/>
            <w:noWrap/>
            <w:vAlign w:val="center"/>
          </w:tcPr>
          <w:p w14:paraId="3FA6AFC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廖羽芊</w:t>
            </w:r>
          </w:p>
        </w:tc>
        <w:tc>
          <w:tcPr>
            <w:tcW w:w="1336" w:type="dxa"/>
            <w:noWrap/>
            <w:vAlign w:val="center"/>
          </w:tcPr>
          <w:p w14:paraId="78B1242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李卓嘉</w:t>
            </w:r>
          </w:p>
        </w:tc>
        <w:tc>
          <w:tcPr>
            <w:tcW w:w="1085" w:type="dxa"/>
            <w:noWrap/>
            <w:vAlign w:val="center"/>
          </w:tcPr>
          <w:p w14:paraId="3EC3D57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黄瑞</w:t>
            </w:r>
          </w:p>
        </w:tc>
      </w:tr>
      <w:tr w14:paraId="5866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6B18994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7</w:t>
            </w:r>
          </w:p>
        </w:tc>
        <w:tc>
          <w:tcPr>
            <w:tcW w:w="988" w:type="dxa"/>
            <w:noWrap/>
            <w:vAlign w:val="center"/>
          </w:tcPr>
          <w:p w14:paraId="29BD68A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62648E2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新质生产力碳减排效应的动态空间测度与溢出机制 ——基于省级动态空间杜宾模型的实证研究</w:t>
            </w:r>
          </w:p>
        </w:tc>
        <w:tc>
          <w:tcPr>
            <w:tcW w:w="1417" w:type="dxa"/>
            <w:noWrap/>
            <w:vAlign w:val="center"/>
          </w:tcPr>
          <w:p w14:paraId="46AD826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于昕</w:t>
            </w:r>
          </w:p>
        </w:tc>
        <w:tc>
          <w:tcPr>
            <w:tcW w:w="1336" w:type="dxa"/>
            <w:noWrap/>
            <w:vAlign w:val="center"/>
          </w:tcPr>
          <w:p w14:paraId="09713B6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郝奕婷</w:t>
            </w:r>
          </w:p>
        </w:tc>
        <w:tc>
          <w:tcPr>
            <w:tcW w:w="1085" w:type="dxa"/>
            <w:noWrap/>
            <w:vAlign w:val="center"/>
          </w:tcPr>
          <w:p w14:paraId="5801CEC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曹栋晴</w:t>
            </w:r>
          </w:p>
        </w:tc>
      </w:tr>
      <w:tr w14:paraId="2BBC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5E0B6E4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8</w:t>
            </w:r>
          </w:p>
        </w:tc>
        <w:tc>
          <w:tcPr>
            <w:tcW w:w="988" w:type="dxa"/>
            <w:noWrap/>
            <w:vAlign w:val="center"/>
          </w:tcPr>
          <w:p w14:paraId="7792E69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59A4592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重点城市减污降碳协同治理水平测度、类型识别与风险预警研究——基于全国168个城市样本</w:t>
            </w:r>
          </w:p>
        </w:tc>
        <w:tc>
          <w:tcPr>
            <w:tcW w:w="1417" w:type="dxa"/>
            <w:noWrap/>
            <w:vAlign w:val="center"/>
          </w:tcPr>
          <w:p w14:paraId="10FC755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王羽洁</w:t>
            </w:r>
          </w:p>
        </w:tc>
        <w:tc>
          <w:tcPr>
            <w:tcW w:w="1336" w:type="dxa"/>
            <w:noWrap/>
            <w:vAlign w:val="center"/>
          </w:tcPr>
          <w:p w14:paraId="402EA4C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谷孟飞</w:t>
            </w:r>
          </w:p>
        </w:tc>
        <w:tc>
          <w:tcPr>
            <w:tcW w:w="1085" w:type="dxa"/>
            <w:noWrap/>
            <w:vAlign w:val="center"/>
          </w:tcPr>
          <w:p w14:paraId="58756BF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康梓航</w:t>
            </w:r>
          </w:p>
        </w:tc>
      </w:tr>
      <w:tr w14:paraId="6D0F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0895600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9</w:t>
            </w:r>
          </w:p>
        </w:tc>
        <w:tc>
          <w:tcPr>
            <w:tcW w:w="988" w:type="dxa"/>
            <w:noWrap/>
            <w:vAlign w:val="center"/>
          </w:tcPr>
          <w:p w14:paraId="6590D7B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一等奖</w:t>
            </w:r>
          </w:p>
        </w:tc>
        <w:tc>
          <w:tcPr>
            <w:tcW w:w="3514" w:type="dxa"/>
            <w:noWrap/>
            <w:vAlign w:val="center"/>
          </w:tcPr>
          <w:p w14:paraId="00B12B2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银领未来：中国省域银发经济潜力时空图谱与数字化释放路径研究</w:t>
            </w:r>
          </w:p>
        </w:tc>
        <w:tc>
          <w:tcPr>
            <w:tcW w:w="1417" w:type="dxa"/>
            <w:noWrap/>
            <w:vAlign w:val="center"/>
          </w:tcPr>
          <w:p w14:paraId="27D23C0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侯梦扬</w:t>
            </w:r>
          </w:p>
        </w:tc>
        <w:tc>
          <w:tcPr>
            <w:tcW w:w="1336" w:type="dxa"/>
            <w:noWrap/>
            <w:vAlign w:val="center"/>
          </w:tcPr>
          <w:p w14:paraId="4756D5B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郑智文</w:t>
            </w:r>
          </w:p>
        </w:tc>
        <w:tc>
          <w:tcPr>
            <w:tcW w:w="1085" w:type="dxa"/>
            <w:noWrap/>
            <w:vAlign w:val="center"/>
          </w:tcPr>
          <w:p w14:paraId="69513FF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孟祥锦</w:t>
            </w:r>
          </w:p>
        </w:tc>
      </w:tr>
      <w:tr w14:paraId="37DE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03356A2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10</w:t>
            </w:r>
          </w:p>
        </w:tc>
        <w:tc>
          <w:tcPr>
            <w:tcW w:w="988" w:type="dxa"/>
            <w:noWrap/>
            <w:vAlign w:val="center"/>
          </w:tcPr>
          <w:p w14:paraId="33362B9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403410E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问“师”哪得应如许？为有源头“协”力来——高考“分配器”与虹吸效应下京津冀师资供需的协同破局研究</w:t>
            </w:r>
          </w:p>
        </w:tc>
        <w:tc>
          <w:tcPr>
            <w:tcW w:w="1417" w:type="dxa"/>
            <w:noWrap/>
            <w:vAlign w:val="center"/>
          </w:tcPr>
          <w:p w14:paraId="28789FB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黎丹</w:t>
            </w:r>
          </w:p>
        </w:tc>
        <w:tc>
          <w:tcPr>
            <w:tcW w:w="1336" w:type="dxa"/>
            <w:noWrap/>
            <w:vAlign w:val="center"/>
          </w:tcPr>
          <w:p w14:paraId="3693313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唐珏琳</w:t>
            </w:r>
          </w:p>
        </w:tc>
        <w:tc>
          <w:tcPr>
            <w:tcW w:w="1085" w:type="dxa"/>
            <w:noWrap/>
            <w:vAlign w:val="center"/>
          </w:tcPr>
          <w:p w14:paraId="47D4557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操远</w:t>
            </w:r>
          </w:p>
        </w:tc>
      </w:tr>
      <w:tr w14:paraId="6E6A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6D37F16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11</w:t>
            </w:r>
          </w:p>
        </w:tc>
        <w:tc>
          <w:tcPr>
            <w:tcW w:w="988" w:type="dxa"/>
            <w:noWrap/>
            <w:vAlign w:val="center"/>
          </w:tcPr>
          <w:p w14:paraId="1635A47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22F30FD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油价“过山车”，电车“加速度”——基于油价倒逼效应的新能源汽车渗透率与能源安全预测模型</w:t>
            </w:r>
          </w:p>
        </w:tc>
        <w:tc>
          <w:tcPr>
            <w:tcW w:w="1417" w:type="dxa"/>
            <w:noWrap/>
            <w:vAlign w:val="center"/>
          </w:tcPr>
          <w:p w14:paraId="61B2B3A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潘芸</w:t>
            </w:r>
          </w:p>
        </w:tc>
        <w:tc>
          <w:tcPr>
            <w:tcW w:w="1336" w:type="dxa"/>
            <w:noWrap/>
            <w:vAlign w:val="center"/>
          </w:tcPr>
          <w:p w14:paraId="1FA392C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李响</w:t>
            </w:r>
          </w:p>
        </w:tc>
        <w:tc>
          <w:tcPr>
            <w:tcW w:w="1085" w:type="dxa"/>
            <w:noWrap/>
            <w:vAlign w:val="center"/>
          </w:tcPr>
          <w:p w14:paraId="6143504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张莹雪</w:t>
            </w:r>
          </w:p>
        </w:tc>
      </w:tr>
      <w:tr w14:paraId="25BC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4D380A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12</w:t>
            </w:r>
          </w:p>
        </w:tc>
        <w:tc>
          <w:tcPr>
            <w:tcW w:w="988" w:type="dxa"/>
            <w:noWrap/>
            <w:vAlign w:val="center"/>
          </w:tcPr>
          <w:p w14:paraId="10FBCB8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26BAF43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电商进村，消费何往？——基于交错DID与因果森林的农村示范县政策效应与消费机制变化研究</w:t>
            </w:r>
          </w:p>
        </w:tc>
        <w:tc>
          <w:tcPr>
            <w:tcW w:w="1417" w:type="dxa"/>
            <w:noWrap/>
            <w:vAlign w:val="center"/>
          </w:tcPr>
          <w:p w14:paraId="6D37F8C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杨政赫</w:t>
            </w:r>
          </w:p>
        </w:tc>
        <w:tc>
          <w:tcPr>
            <w:tcW w:w="1336" w:type="dxa"/>
            <w:noWrap/>
            <w:vAlign w:val="center"/>
          </w:tcPr>
          <w:p w14:paraId="17510FB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王方驰</w:t>
            </w:r>
          </w:p>
        </w:tc>
        <w:tc>
          <w:tcPr>
            <w:tcW w:w="1085" w:type="dxa"/>
            <w:noWrap/>
            <w:vAlign w:val="center"/>
          </w:tcPr>
          <w:p w14:paraId="1BD3C1C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靳露露</w:t>
            </w:r>
          </w:p>
        </w:tc>
      </w:tr>
      <w:tr w14:paraId="57BC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5E12F18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13</w:t>
            </w:r>
          </w:p>
        </w:tc>
        <w:tc>
          <w:tcPr>
            <w:tcW w:w="988" w:type="dxa"/>
            <w:noWrap/>
            <w:vAlign w:val="center"/>
          </w:tcPr>
          <w:p w14:paraId="17C7CC4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66F3FD7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千年大计的“一小时”——雄安疏解背景下跨城通勤的多源大数据统计建模研究</w:t>
            </w:r>
          </w:p>
        </w:tc>
        <w:tc>
          <w:tcPr>
            <w:tcW w:w="1417" w:type="dxa"/>
            <w:noWrap/>
            <w:vAlign w:val="center"/>
          </w:tcPr>
          <w:p w14:paraId="39503B0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高腾隆</w:t>
            </w:r>
          </w:p>
        </w:tc>
        <w:tc>
          <w:tcPr>
            <w:tcW w:w="1336" w:type="dxa"/>
            <w:noWrap/>
            <w:vAlign w:val="center"/>
          </w:tcPr>
          <w:p w14:paraId="55F5C2E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王思娇</w:t>
            </w:r>
          </w:p>
        </w:tc>
        <w:tc>
          <w:tcPr>
            <w:tcW w:w="1085" w:type="dxa"/>
            <w:noWrap/>
            <w:vAlign w:val="center"/>
          </w:tcPr>
          <w:p w14:paraId="5043E53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杨心茹</w:t>
            </w:r>
          </w:p>
        </w:tc>
      </w:tr>
      <w:tr w14:paraId="19C6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7C447EF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14</w:t>
            </w:r>
          </w:p>
        </w:tc>
        <w:tc>
          <w:tcPr>
            <w:tcW w:w="988" w:type="dxa"/>
            <w:noWrap/>
            <w:vAlign w:val="center"/>
          </w:tcPr>
          <w:p w14:paraId="6AC7672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7ECE120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基于时序重构算法与空间面板SDM的北京市各区经济韧性非线性时空演变及多情景预测研究</w:t>
            </w:r>
          </w:p>
        </w:tc>
        <w:tc>
          <w:tcPr>
            <w:tcW w:w="1417" w:type="dxa"/>
            <w:noWrap/>
            <w:vAlign w:val="center"/>
          </w:tcPr>
          <w:p w14:paraId="4296409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任晟睿</w:t>
            </w:r>
          </w:p>
        </w:tc>
        <w:tc>
          <w:tcPr>
            <w:tcW w:w="1336" w:type="dxa"/>
            <w:noWrap/>
            <w:vAlign w:val="center"/>
          </w:tcPr>
          <w:p w14:paraId="193843D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王浩</w:t>
            </w:r>
          </w:p>
        </w:tc>
        <w:tc>
          <w:tcPr>
            <w:tcW w:w="1085" w:type="dxa"/>
            <w:noWrap/>
            <w:vAlign w:val="center"/>
          </w:tcPr>
          <w:p w14:paraId="1E901D7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马叶轩</w:t>
            </w:r>
          </w:p>
        </w:tc>
      </w:tr>
      <w:tr w14:paraId="39B9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70110F7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15</w:t>
            </w:r>
          </w:p>
        </w:tc>
        <w:tc>
          <w:tcPr>
            <w:tcW w:w="988" w:type="dxa"/>
            <w:noWrap/>
            <w:vAlign w:val="center"/>
          </w:tcPr>
          <w:p w14:paraId="598C10C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6D6D024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AI技术赋能下就业结构转型对区域经济高质量发展的驱动</w:t>
            </w:r>
          </w:p>
        </w:tc>
        <w:tc>
          <w:tcPr>
            <w:tcW w:w="1417" w:type="dxa"/>
            <w:noWrap/>
            <w:vAlign w:val="center"/>
          </w:tcPr>
          <w:p w14:paraId="09FC4E8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安星宇</w:t>
            </w:r>
          </w:p>
        </w:tc>
        <w:tc>
          <w:tcPr>
            <w:tcW w:w="1336" w:type="dxa"/>
            <w:noWrap/>
            <w:vAlign w:val="center"/>
          </w:tcPr>
          <w:p w14:paraId="2F5D85D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金优鑫</w:t>
            </w:r>
          </w:p>
        </w:tc>
        <w:tc>
          <w:tcPr>
            <w:tcW w:w="1085" w:type="dxa"/>
            <w:noWrap/>
            <w:vAlign w:val="center"/>
          </w:tcPr>
          <w:p w14:paraId="31E5033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罗小妹</w:t>
            </w:r>
          </w:p>
        </w:tc>
      </w:tr>
      <w:tr w14:paraId="467F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217AB0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16</w:t>
            </w:r>
          </w:p>
        </w:tc>
        <w:tc>
          <w:tcPr>
            <w:tcW w:w="988" w:type="dxa"/>
            <w:noWrap/>
            <w:vAlign w:val="center"/>
          </w:tcPr>
          <w:p w14:paraId="31085C0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28BFF68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基于RCA-SMI跨尺度耦合的成渝低空经济空间错配识别与产业园区选址优化</w:t>
            </w:r>
          </w:p>
        </w:tc>
        <w:tc>
          <w:tcPr>
            <w:tcW w:w="1417" w:type="dxa"/>
            <w:noWrap/>
            <w:vAlign w:val="center"/>
          </w:tcPr>
          <w:p w14:paraId="67624FE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陈天旭</w:t>
            </w:r>
          </w:p>
        </w:tc>
        <w:tc>
          <w:tcPr>
            <w:tcW w:w="1336" w:type="dxa"/>
            <w:noWrap/>
            <w:vAlign w:val="center"/>
          </w:tcPr>
          <w:p w14:paraId="41A0DC4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柴宇轩</w:t>
            </w:r>
          </w:p>
        </w:tc>
        <w:tc>
          <w:tcPr>
            <w:tcW w:w="1085" w:type="dxa"/>
            <w:noWrap/>
            <w:vAlign w:val="center"/>
          </w:tcPr>
          <w:p w14:paraId="532ED3C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宫晓满</w:t>
            </w:r>
          </w:p>
        </w:tc>
      </w:tr>
      <w:tr w14:paraId="418B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ACDD1B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17</w:t>
            </w:r>
          </w:p>
        </w:tc>
        <w:tc>
          <w:tcPr>
            <w:tcW w:w="988" w:type="dxa"/>
            <w:noWrap/>
            <w:vAlign w:val="center"/>
          </w:tcPr>
          <w:p w14:paraId="64F4463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0A3727F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多尺度视角下上市金融机构尾部风险溢出网络构建与多因子可解释预警研究</w:t>
            </w:r>
          </w:p>
        </w:tc>
        <w:tc>
          <w:tcPr>
            <w:tcW w:w="1417" w:type="dxa"/>
            <w:noWrap/>
            <w:vAlign w:val="center"/>
          </w:tcPr>
          <w:p w14:paraId="0105031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何一涵</w:t>
            </w:r>
          </w:p>
        </w:tc>
        <w:tc>
          <w:tcPr>
            <w:tcW w:w="1336" w:type="dxa"/>
            <w:noWrap/>
            <w:vAlign w:val="center"/>
          </w:tcPr>
          <w:p w14:paraId="3854C42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吴丽添</w:t>
            </w:r>
          </w:p>
        </w:tc>
        <w:tc>
          <w:tcPr>
            <w:tcW w:w="1085" w:type="dxa"/>
            <w:noWrap/>
            <w:vAlign w:val="center"/>
          </w:tcPr>
          <w:p w14:paraId="26F5DF7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杨添程</w:t>
            </w:r>
          </w:p>
        </w:tc>
      </w:tr>
      <w:tr w14:paraId="3240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24FD6E2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18</w:t>
            </w:r>
          </w:p>
        </w:tc>
        <w:tc>
          <w:tcPr>
            <w:tcW w:w="988" w:type="dxa"/>
            <w:noWrap/>
            <w:vAlign w:val="center"/>
          </w:tcPr>
          <w:p w14:paraId="2978514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07D2A24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基于复杂网络的城市轨道交通网络韧性测度与脆弱站点综合识别——以北京地铁为例</w:t>
            </w:r>
          </w:p>
        </w:tc>
        <w:tc>
          <w:tcPr>
            <w:tcW w:w="1417" w:type="dxa"/>
            <w:noWrap/>
            <w:vAlign w:val="center"/>
          </w:tcPr>
          <w:p w14:paraId="36A7577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张逸铭</w:t>
            </w:r>
          </w:p>
        </w:tc>
        <w:tc>
          <w:tcPr>
            <w:tcW w:w="1336" w:type="dxa"/>
            <w:noWrap/>
            <w:vAlign w:val="center"/>
          </w:tcPr>
          <w:p w14:paraId="4CD2CDB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李聪</w:t>
            </w:r>
          </w:p>
        </w:tc>
        <w:tc>
          <w:tcPr>
            <w:tcW w:w="1085" w:type="dxa"/>
            <w:noWrap/>
            <w:vAlign w:val="center"/>
          </w:tcPr>
          <w:p w14:paraId="4E29BCE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赵士伟</w:t>
            </w:r>
          </w:p>
        </w:tc>
      </w:tr>
      <w:tr w14:paraId="5E48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6A29AD5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19</w:t>
            </w:r>
          </w:p>
        </w:tc>
        <w:tc>
          <w:tcPr>
            <w:tcW w:w="988" w:type="dxa"/>
            <w:noWrap/>
            <w:vAlign w:val="center"/>
          </w:tcPr>
          <w:p w14:paraId="5BEC7CD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1A7EE6F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数字乡村建设下基于Stacking集成学习方法的脱贫人员返贫风险预测研究——以河北省为例</w:t>
            </w:r>
          </w:p>
        </w:tc>
        <w:tc>
          <w:tcPr>
            <w:tcW w:w="1417" w:type="dxa"/>
            <w:noWrap/>
            <w:vAlign w:val="center"/>
          </w:tcPr>
          <w:p w14:paraId="116FE39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朱舒然</w:t>
            </w:r>
          </w:p>
        </w:tc>
        <w:tc>
          <w:tcPr>
            <w:tcW w:w="1336" w:type="dxa"/>
            <w:noWrap/>
            <w:vAlign w:val="center"/>
          </w:tcPr>
          <w:p w14:paraId="0C7B828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吴宇航</w:t>
            </w:r>
          </w:p>
        </w:tc>
        <w:tc>
          <w:tcPr>
            <w:tcW w:w="1085" w:type="dxa"/>
            <w:noWrap/>
            <w:vAlign w:val="center"/>
          </w:tcPr>
          <w:p w14:paraId="794B715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郝震宇</w:t>
            </w:r>
          </w:p>
        </w:tc>
      </w:tr>
      <w:tr w14:paraId="489E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6569C2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20</w:t>
            </w:r>
          </w:p>
        </w:tc>
        <w:tc>
          <w:tcPr>
            <w:tcW w:w="988" w:type="dxa"/>
            <w:noWrap/>
            <w:vAlign w:val="center"/>
          </w:tcPr>
          <w:p w14:paraId="13B2330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365C74B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“买得对，排得少”——居民消费结构对碳排放的影响评估与多情景减排路径研究</w:t>
            </w:r>
          </w:p>
        </w:tc>
        <w:tc>
          <w:tcPr>
            <w:tcW w:w="1417" w:type="dxa"/>
            <w:noWrap/>
            <w:vAlign w:val="center"/>
          </w:tcPr>
          <w:p w14:paraId="13F6CD9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徐嘉妮</w:t>
            </w:r>
          </w:p>
        </w:tc>
        <w:tc>
          <w:tcPr>
            <w:tcW w:w="1336" w:type="dxa"/>
            <w:noWrap/>
            <w:vAlign w:val="center"/>
          </w:tcPr>
          <w:p w14:paraId="7E3A521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刘佳仪</w:t>
            </w:r>
          </w:p>
        </w:tc>
        <w:tc>
          <w:tcPr>
            <w:tcW w:w="1085" w:type="dxa"/>
            <w:noWrap/>
            <w:vAlign w:val="center"/>
          </w:tcPr>
          <w:p w14:paraId="1E6CA26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张心悦</w:t>
            </w:r>
          </w:p>
        </w:tc>
      </w:tr>
      <w:tr w14:paraId="134A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03088D4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21</w:t>
            </w:r>
          </w:p>
        </w:tc>
        <w:tc>
          <w:tcPr>
            <w:tcW w:w="988" w:type="dxa"/>
            <w:noWrap/>
            <w:vAlign w:val="center"/>
          </w:tcPr>
          <w:p w14:paraId="7A21B9B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7ADF375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统计创新赋能文旅经济，数据驱动促进高质量发展——以“苏超”为例</w:t>
            </w:r>
          </w:p>
        </w:tc>
        <w:tc>
          <w:tcPr>
            <w:tcW w:w="1417" w:type="dxa"/>
            <w:noWrap/>
            <w:vAlign w:val="center"/>
          </w:tcPr>
          <w:p w14:paraId="6059FD0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薄舒晋</w:t>
            </w:r>
          </w:p>
        </w:tc>
        <w:tc>
          <w:tcPr>
            <w:tcW w:w="1336" w:type="dxa"/>
            <w:noWrap/>
            <w:vAlign w:val="center"/>
          </w:tcPr>
          <w:p w14:paraId="774E122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高昌尧</w:t>
            </w:r>
          </w:p>
        </w:tc>
        <w:tc>
          <w:tcPr>
            <w:tcW w:w="1085" w:type="dxa"/>
            <w:noWrap/>
            <w:vAlign w:val="center"/>
          </w:tcPr>
          <w:p w14:paraId="091C072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陈韵</w:t>
            </w:r>
          </w:p>
        </w:tc>
      </w:tr>
      <w:tr w14:paraId="41AA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32B341C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22</w:t>
            </w:r>
          </w:p>
        </w:tc>
        <w:tc>
          <w:tcPr>
            <w:tcW w:w="988" w:type="dxa"/>
            <w:noWrap/>
            <w:vAlign w:val="center"/>
          </w:tcPr>
          <w:p w14:paraId="21EF211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6DD6741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“对等关税”冲击下中国产业安全与宏观政策的统计评估</w:t>
            </w:r>
          </w:p>
        </w:tc>
        <w:tc>
          <w:tcPr>
            <w:tcW w:w="1417" w:type="dxa"/>
            <w:noWrap/>
            <w:vAlign w:val="center"/>
          </w:tcPr>
          <w:p w14:paraId="573030F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陈涵煜</w:t>
            </w:r>
          </w:p>
        </w:tc>
        <w:tc>
          <w:tcPr>
            <w:tcW w:w="1336" w:type="dxa"/>
            <w:noWrap/>
            <w:vAlign w:val="center"/>
          </w:tcPr>
          <w:p w14:paraId="6ED2ED0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井博冉</w:t>
            </w:r>
          </w:p>
        </w:tc>
        <w:tc>
          <w:tcPr>
            <w:tcW w:w="1085" w:type="dxa"/>
            <w:noWrap/>
            <w:vAlign w:val="center"/>
          </w:tcPr>
          <w:p w14:paraId="2CDD524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王敬文</w:t>
            </w:r>
          </w:p>
        </w:tc>
      </w:tr>
      <w:tr w14:paraId="7262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44500A0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23</w:t>
            </w:r>
          </w:p>
        </w:tc>
        <w:tc>
          <w:tcPr>
            <w:tcW w:w="988" w:type="dxa"/>
            <w:noWrap/>
            <w:vAlign w:val="center"/>
          </w:tcPr>
          <w:p w14:paraId="4D9DA16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3345FE1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“协同共进，量质提升”——基于TOPSIS—SDM模型的区域新质生产力协同发展水平测度与空间溢出效应研究</w:t>
            </w:r>
          </w:p>
        </w:tc>
        <w:tc>
          <w:tcPr>
            <w:tcW w:w="1417" w:type="dxa"/>
            <w:noWrap/>
            <w:vAlign w:val="center"/>
          </w:tcPr>
          <w:p w14:paraId="1F31234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蔡雨欢</w:t>
            </w:r>
          </w:p>
        </w:tc>
        <w:tc>
          <w:tcPr>
            <w:tcW w:w="1336" w:type="dxa"/>
            <w:noWrap/>
            <w:vAlign w:val="center"/>
          </w:tcPr>
          <w:p w14:paraId="3B24193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房盈辛</w:t>
            </w:r>
          </w:p>
        </w:tc>
        <w:tc>
          <w:tcPr>
            <w:tcW w:w="1085" w:type="dxa"/>
            <w:noWrap/>
            <w:vAlign w:val="center"/>
          </w:tcPr>
          <w:p w14:paraId="72E911F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农茵宁</w:t>
            </w:r>
          </w:p>
        </w:tc>
      </w:tr>
      <w:tr w14:paraId="68F9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4701AD6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24</w:t>
            </w:r>
          </w:p>
        </w:tc>
        <w:tc>
          <w:tcPr>
            <w:tcW w:w="988" w:type="dxa"/>
            <w:noWrap/>
            <w:vAlign w:val="center"/>
          </w:tcPr>
          <w:p w14:paraId="266637D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3A78EA6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面向“东数西算”的光网流量时空异质性统计建模与算网资源多目标协同优化</w:t>
            </w:r>
          </w:p>
        </w:tc>
        <w:tc>
          <w:tcPr>
            <w:tcW w:w="1417" w:type="dxa"/>
            <w:noWrap/>
            <w:vAlign w:val="center"/>
          </w:tcPr>
          <w:p w14:paraId="4BC54D3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邓圆满</w:t>
            </w:r>
          </w:p>
        </w:tc>
        <w:tc>
          <w:tcPr>
            <w:tcW w:w="1336" w:type="dxa"/>
            <w:noWrap/>
            <w:vAlign w:val="center"/>
          </w:tcPr>
          <w:p w14:paraId="6B2FB14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刘翔昀</w:t>
            </w:r>
          </w:p>
        </w:tc>
        <w:tc>
          <w:tcPr>
            <w:tcW w:w="1085" w:type="dxa"/>
            <w:noWrap/>
            <w:vAlign w:val="center"/>
          </w:tcPr>
          <w:p w14:paraId="1FB11ED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汪家伊</w:t>
            </w:r>
          </w:p>
        </w:tc>
      </w:tr>
      <w:tr w14:paraId="5A75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43470D0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25</w:t>
            </w:r>
          </w:p>
        </w:tc>
        <w:tc>
          <w:tcPr>
            <w:tcW w:w="988" w:type="dxa"/>
            <w:noWrap/>
            <w:vAlign w:val="center"/>
          </w:tcPr>
          <w:p w14:paraId="17CC4E9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13EED5E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跨越或转身？健康冲击下劳动退出的年龄门槛与群体分化——基于CHARLS的门限回归与机制分析</w:t>
            </w:r>
          </w:p>
        </w:tc>
        <w:tc>
          <w:tcPr>
            <w:tcW w:w="1417" w:type="dxa"/>
            <w:noWrap/>
            <w:vAlign w:val="center"/>
          </w:tcPr>
          <w:p w14:paraId="4C911F3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庞砚文</w:t>
            </w:r>
          </w:p>
        </w:tc>
        <w:tc>
          <w:tcPr>
            <w:tcW w:w="1336" w:type="dxa"/>
            <w:noWrap/>
            <w:vAlign w:val="center"/>
          </w:tcPr>
          <w:p w14:paraId="7666629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刘婧</w:t>
            </w:r>
          </w:p>
        </w:tc>
        <w:tc>
          <w:tcPr>
            <w:tcW w:w="1085" w:type="dxa"/>
            <w:noWrap/>
            <w:vAlign w:val="center"/>
          </w:tcPr>
          <w:p w14:paraId="50E0C86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孙铱</w:t>
            </w:r>
            <w:r>
              <w:rPr>
                <w:rFonts w:hint="eastAsia" w:ascii="宋体" w:hAnsi="宋体" w:cs="宋体"/>
                <w:kern w:val="2"/>
                <w:sz w:val="21"/>
                <w:szCs w:val="21"/>
              </w:rPr>
              <w:t>璘</w:t>
            </w:r>
          </w:p>
        </w:tc>
      </w:tr>
      <w:tr w14:paraId="5378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69A501C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26</w:t>
            </w:r>
          </w:p>
        </w:tc>
        <w:tc>
          <w:tcPr>
            <w:tcW w:w="988" w:type="dxa"/>
            <w:noWrap/>
            <w:vAlign w:val="center"/>
          </w:tcPr>
          <w:p w14:paraId="7A432E8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二等奖</w:t>
            </w:r>
          </w:p>
        </w:tc>
        <w:tc>
          <w:tcPr>
            <w:tcW w:w="3514" w:type="dxa"/>
            <w:noWrap/>
            <w:vAlign w:val="center"/>
          </w:tcPr>
          <w:p w14:paraId="7E5DB49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“人才何往，经济何依”——东北地区高等教育与经济发展耦合协调度及空间溢出效应研究</w:t>
            </w:r>
          </w:p>
        </w:tc>
        <w:tc>
          <w:tcPr>
            <w:tcW w:w="1417" w:type="dxa"/>
            <w:noWrap/>
            <w:vAlign w:val="center"/>
          </w:tcPr>
          <w:p w14:paraId="6BE59E8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范伊贝</w:t>
            </w:r>
          </w:p>
        </w:tc>
        <w:tc>
          <w:tcPr>
            <w:tcW w:w="1336" w:type="dxa"/>
            <w:noWrap/>
            <w:vAlign w:val="center"/>
          </w:tcPr>
          <w:p w14:paraId="6300931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郭铠宁</w:t>
            </w:r>
          </w:p>
        </w:tc>
        <w:tc>
          <w:tcPr>
            <w:tcW w:w="1085" w:type="dxa"/>
            <w:noWrap/>
            <w:vAlign w:val="center"/>
          </w:tcPr>
          <w:p w14:paraId="28189E2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贾美乐</w:t>
            </w:r>
          </w:p>
        </w:tc>
      </w:tr>
      <w:tr w14:paraId="7085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5A9B524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27</w:t>
            </w:r>
          </w:p>
        </w:tc>
        <w:tc>
          <w:tcPr>
            <w:tcW w:w="988" w:type="dxa"/>
            <w:noWrap/>
            <w:vAlign w:val="center"/>
          </w:tcPr>
          <w:p w14:paraId="13AF477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4654FDB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微短剧产业高质量发展水平测度、 区域差异与驱动因素研究</w:t>
            </w:r>
          </w:p>
        </w:tc>
        <w:tc>
          <w:tcPr>
            <w:tcW w:w="1417" w:type="dxa"/>
            <w:noWrap/>
            <w:vAlign w:val="center"/>
          </w:tcPr>
          <w:p w14:paraId="45952CE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韩倩怡</w:t>
            </w:r>
          </w:p>
        </w:tc>
        <w:tc>
          <w:tcPr>
            <w:tcW w:w="1336" w:type="dxa"/>
            <w:noWrap/>
            <w:vAlign w:val="center"/>
          </w:tcPr>
          <w:p w14:paraId="06E80C8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于欣仪</w:t>
            </w:r>
          </w:p>
        </w:tc>
        <w:tc>
          <w:tcPr>
            <w:tcW w:w="1085" w:type="dxa"/>
            <w:noWrap/>
            <w:vAlign w:val="center"/>
          </w:tcPr>
          <w:p w14:paraId="0F349D5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周颖</w:t>
            </w:r>
          </w:p>
        </w:tc>
      </w:tr>
      <w:tr w14:paraId="1AD9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534556F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28</w:t>
            </w:r>
          </w:p>
        </w:tc>
        <w:tc>
          <w:tcPr>
            <w:tcW w:w="988" w:type="dxa"/>
            <w:noWrap/>
            <w:vAlign w:val="center"/>
          </w:tcPr>
          <w:p w14:paraId="262693C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30FF324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政策驱动下智慧养老发展水平测度、空间格局与溢出效应 ——基于空间杜宾模型的省域面板证据</w:t>
            </w:r>
          </w:p>
        </w:tc>
        <w:tc>
          <w:tcPr>
            <w:tcW w:w="1417" w:type="dxa"/>
            <w:noWrap/>
            <w:vAlign w:val="center"/>
          </w:tcPr>
          <w:p w14:paraId="4938752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闫冰嫣</w:t>
            </w:r>
          </w:p>
        </w:tc>
        <w:tc>
          <w:tcPr>
            <w:tcW w:w="1336" w:type="dxa"/>
            <w:noWrap/>
            <w:vAlign w:val="center"/>
          </w:tcPr>
          <w:p w14:paraId="15F25AB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贺诗曼</w:t>
            </w:r>
          </w:p>
        </w:tc>
        <w:tc>
          <w:tcPr>
            <w:tcW w:w="1085" w:type="dxa"/>
            <w:noWrap/>
            <w:vAlign w:val="center"/>
          </w:tcPr>
          <w:p w14:paraId="0D8DFAC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万鹤婷</w:t>
            </w:r>
          </w:p>
        </w:tc>
      </w:tr>
      <w:tr w14:paraId="298E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34D0514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29</w:t>
            </w:r>
          </w:p>
        </w:tc>
        <w:tc>
          <w:tcPr>
            <w:tcW w:w="988" w:type="dxa"/>
            <w:noWrap/>
            <w:vAlign w:val="center"/>
          </w:tcPr>
          <w:p w14:paraId="36C9F70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7D171EF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“基建向智，发展向质”——智慧建养与区域高质量发展的耦合协调研究</w:t>
            </w:r>
          </w:p>
        </w:tc>
        <w:tc>
          <w:tcPr>
            <w:tcW w:w="1417" w:type="dxa"/>
            <w:noWrap/>
            <w:vAlign w:val="center"/>
          </w:tcPr>
          <w:p w14:paraId="7B0BA58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段墨旭</w:t>
            </w:r>
          </w:p>
        </w:tc>
        <w:tc>
          <w:tcPr>
            <w:tcW w:w="1336" w:type="dxa"/>
            <w:noWrap/>
            <w:vAlign w:val="center"/>
          </w:tcPr>
          <w:p w14:paraId="08D9DDB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郑刘军</w:t>
            </w:r>
          </w:p>
        </w:tc>
        <w:tc>
          <w:tcPr>
            <w:tcW w:w="1085" w:type="dxa"/>
            <w:noWrap/>
            <w:vAlign w:val="center"/>
          </w:tcPr>
          <w:p w14:paraId="291BC62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刘建科</w:t>
            </w:r>
          </w:p>
        </w:tc>
      </w:tr>
      <w:tr w14:paraId="50FC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4ECC663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30</w:t>
            </w:r>
          </w:p>
        </w:tc>
        <w:tc>
          <w:tcPr>
            <w:tcW w:w="988" w:type="dxa"/>
            <w:noWrap/>
            <w:vAlign w:val="center"/>
          </w:tcPr>
          <w:p w14:paraId="127A6CA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7DA620B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公共数据开放与城市数字普惠金融——基于多期双重差分的识别与动态效应</w:t>
            </w:r>
          </w:p>
        </w:tc>
        <w:tc>
          <w:tcPr>
            <w:tcW w:w="1417" w:type="dxa"/>
            <w:noWrap/>
            <w:vAlign w:val="center"/>
          </w:tcPr>
          <w:p w14:paraId="69432B6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欧一帅</w:t>
            </w:r>
          </w:p>
        </w:tc>
        <w:tc>
          <w:tcPr>
            <w:tcW w:w="1336" w:type="dxa"/>
            <w:noWrap/>
            <w:vAlign w:val="center"/>
          </w:tcPr>
          <w:p w14:paraId="50E6187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申杰霖</w:t>
            </w:r>
          </w:p>
        </w:tc>
        <w:tc>
          <w:tcPr>
            <w:tcW w:w="1085" w:type="dxa"/>
            <w:noWrap/>
            <w:vAlign w:val="center"/>
          </w:tcPr>
          <w:p w14:paraId="2645709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王信</w:t>
            </w:r>
          </w:p>
        </w:tc>
      </w:tr>
      <w:tr w14:paraId="27FF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4C74C2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31</w:t>
            </w:r>
          </w:p>
        </w:tc>
        <w:tc>
          <w:tcPr>
            <w:tcW w:w="988" w:type="dxa"/>
            <w:noWrap/>
            <w:vAlign w:val="center"/>
          </w:tcPr>
          <w:p w14:paraId="3CC018B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30808A4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从“智养”到“乐享”：数字健康赋能银发消费升级的时空演变与计量分析</w:t>
            </w:r>
          </w:p>
        </w:tc>
        <w:tc>
          <w:tcPr>
            <w:tcW w:w="1417" w:type="dxa"/>
            <w:noWrap/>
            <w:vAlign w:val="center"/>
          </w:tcPr>
          <w:p w14:paraId="4E44C9C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黄俊帆</w:t>
            </w:r>
          </w:p>
        </w:tc>
        <w:tc>
          <w:tcPr>
            <w:tcW w:w="1336" w:type="dxa"/>
            <w:noWrap/>
            <w:vAlign w:val="center"/>
          </w:tcPr>
          <w:p w14:paraId="3FFE0C9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袁艺格</w:t>
            </w:r>
          </w:p>
        </w:tc>
        <w:tc>
          <w:tcPr>
            <w:tcW w:w="1085" w:type="dxa"/>
            <w:noWrap/>
            <w:vAlign w:val="center"/>
          </w:tcPr>
          <w:p w14:paraId="1036F91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齐乐昕</w:t>
            </w:r>
          </w:p>
        </w:tc>
      </w:tr>
      <w:tr w14:paraId="20C2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1A84C8D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32</w:t>
            </w:r>
          </w:p>
        </w:tc>
        <w:tc>
          <w:tcPr>
            <w:tcW w:w="988" w:type="dxa"/>
            <w:noWrap/>
            <w:vAlign w:val="center"/>
          </w:tcPr>
          <w:p w14:paraId="7319CEF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4027063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新型城镇化背景下城市交通拥堵的统计测度与治理优化——以北京市为例</w:t>
            </w:r>
          </w:p>
        </w:tc>
        <w:tc>
          <w:tcPr>
            <w:tcW w:w="1417" w:type="dxa"/>
            <w:noWrap/>
            <w:vAlign w:val="center"/>
          </w:tcPr>
          <w:p w14:paraId="3427713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马志豪</w:t>
            </w:r>
          </w:p>
        </w:tc>
        <w:tc>
          <w:tcPr>
            <w:tcW w:w="1336" w:type="dxa"/>
            <w:noWrap/>
            <w:vAlign w:val="center"/>
          </w:tcPr>
          <w:p w14:paraId="682FD62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陈烽</w:t>
            </w:r>
          </w:p>
        </w:tc>
        <w:tc>
          <w:tcPr>
            <w:tcW w:w="1085" w:type="dxa"/>
            <w:noWrap/>
            <w:vAlign w:val="center"/>
          </w:tcPr>
          <w:p w14:paraId="0E384BD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邹安祺</w:t>
            </w:r>
          </w:p>
        </w:tc>
      </w:tr>
      <w:tr w14:paraId="0CCD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638C93A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33</w:t>
            </w:r>
          </w:p>
        </w:tc>
        <w:tc>
          <w:tcPr>
            <w:tcW w:w="988" w:type="dxa"/>
            <w:noWrap/>
            <w:vAlign w:val="center"/>
          </w:tcPr>
          <w:p w14:paraId="23092E8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324BE2F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财政支农投入对农村共同富裕的影响机制研究——基于面板固定效应与中介效应模型</w:t>
            </w:r>
          </w:p>
        </w:tc>
        <w:tc>
          <w:tcPr>
            <w:tcW w:w="1417" w:type="dxa"/>
            <w:noWrap/>
            <w:vAlign w:val="center"/>
          </w:tcPr>
          <w:p w14:paraId="244EEE5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刘心宇</w:t>
            </w:r>
          </w:p>
        </w:tc>
        <w:tc>
          <w:tcPr>
            <w:tcW w:w="1336" w:type="dxa"/>
            <w:noWrap/>
            <w:vAlign w:val="center"/>
          </w:tcPr>
          <w:p w14:paraId="031ADD9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钟雨阳</w:t>
            </w:r>
          </w:p>
        </w:tc>
        <w:tc>
          <w:tcPr>
            <w:tcW w:w="1085" w:type="dxa"/>
            <w:noWrap/>
            <w:vAlign w:val="center"/>
          </w:tcPr>
          <w:p w14:paraId="38B4D7F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李沐宸</w:t>
            </w:r>
          </w:p>
        </w:tc>
      </w:tr>
      <w:tr w14:paraId="56ED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4660C78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34</w:t>
            </w:r>
          </w:p>
        </w:tc>
        <w:tc>
          <w:tcPr>
            <w:tcW w:w="988" w:type="dxa"/>
            <w:noWrap/>
            <w:vAlign w:val="center"/>
          </w:tcPr>
          <w:p w14:paraId="09D2B1F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73027EF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“千年大计”的民意温度计：雄安人才政策效能的温差诊断——基于 STM 主题演化与 PLS-SEM 融合模型的实证分析</w:t>
            </w:r>
          </w:p>
        </w:tc>
        <w:tc>
          <w:tcPr>
            <w:tcW w:w="1417" w:type="dxa"/>
            <w:noWrap/>
            <w:vAlign w:val="center"/>
          </w:tcPr>
          <w:p w14:paraId="41CCA31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胡煜敏</w:t>
            </w:r>
          </w:p>
        </w:tc>
        <w:tc>
          <w:tcPr>
            <w:tcW w:w="1336" w:type="dxa"/>
            <w:noWrap/>
            <w:vAlign w:val="center"/>
          </w:tcPr>
          <w:p w14:paraId="6299846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贾文霞</w:t>
            </w:r>
          </w:p>
        </w:tc>
        <w:tc>
          <w:tcPr>
            <w:tcW w:w="1085" w:type="dxa"/>
            <w:noWrap/>
            <w:vAlign w:val="center"/>
          </w:tcPr>
          <w:p w14:paraId="3678E4C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谢婷婷</w:t>
            </w:r>
          </w:p>
        </w:tc>
      </w:tr>
      <w:tr w14:paraId="67F4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60A6DED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35</w:t>
            </w:r>
          </w:p>
        </w:tc>
        <w:tc>
          <w:tcPr>
            <w:tcW w:w="988" w:type="dxa"/>
            <w:noWrap/>
            <w:vAlign w:val="center"/>
          </w:tcPr>
          <w:p w14:paraId="7CBEFE6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463350C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面向甲状腺结节初筛的风险分层与分流优化研究</w:t>
            </w:r>
          </w:p>
        </w:tc>
        <w:tc>
          <w:tcPr>
            <w:tcW w:w="1417" w:type="dxa"/>
            <w:noWrap/>
            <w:vAlign w:val="center"/>
          </w:tcPr>
          <w:p w14:paraId="39AF7AC0">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王鸿鑫</w:t>
            </w:r>
          </w:p>
        </w:tc>
        <w:tc>
          <w:tcPr>
            <w:tcW w:w="1336" w:type="dxa"/>
            <w:noWrap/>
            <w:vAlign w:val="center"/>
          </w:tcPr>
          <w:p w14:paraId="1C04ED0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李慧钏</w:t>
            </w:r>
          </w:p>
        </w:tc>
        <w:tc>
          <w:tcPr>
            <w:tcW w:w="1085" w:type="dxa"/>
            <w:noWrap/>
            <w:vAlign w:val="center"/>
          </w:tcPr>
          <w:p w14:paraId="0405A76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陈之恒</w:t>
            </w:r>
          </w:p>
        </w:tc>
      </w:tr>
      <w:tr w14:paraId="725A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2949CF2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36</w:t>
            </w:r>
          </w:p>
        </w:tc>
        <w:tc>
          <w:tcPr>
            <w:tcW w:w="988" w:type="dxa"/>
            <w:noWrap/>
            <w:vAlign w:val="center"/>
          </w:tcPr>
          <w:p w14:paraId="0F9DFA7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3A9E908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企业物流业务外包决策与供应商选择的统计建模研究 ——兰州庄园牧场为例</w:t>
            </w:r>
          </w:p>
        </w:tc>
        <w:tc>
          <w:tcPr>
            <w:tcW w:w="1417" w:type="dxa"/>
            <w:noWrap/>
            <w:vAlign w:val="center"/>
          </w:tcPr>
          <w:p w14:paraId="701A869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赵健</w:t>
            </w:r>
          </w:p>
        </w:tc>
        <w:tc>
          <w:tcPr>
            <w:tcW w:w="1336" w:type="dxa"/>
            <w:noWrap/>
            <w:vAlign w:val="center"/>
          </w:tcPr>
          <w:p w14:paraId="44A9637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何静萱</w:t>
            </w:r>
          </w:p>
        </w:tc>
        <w:tc>
          <w:tcPr>
            <w:tcW w:w="1085" w:type="dxa"/>
            <w:noWrap/>
            <w:vAlign w:val="center"/>
          </w:tcPr>
          <w:p w14:paraId="315A5AC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叶尔森别克·热依扎别克</w:t>
            </w:r>
          </w:p>
        </w:tc>
      </w:tr>
      <w:tr w14:paraId="47BF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05AEEB4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37</w:t>
            </w:r>
          </w:p>
        </w:tc>
        <w:tc>
          <w:tcPr>
            <w:tcW w:w="988" w:type="dxa"/>
            <w:noWrap/>
            <w:vAlign w:val="center"/>
          </w:tcPr>
          <w:p w14:paraId="2285331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6B062F4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数字经济背景下人力资源开发与充分就业的耦合协调发展研究——以北京市为例</w:t>
            </w:r>
          </w:p>
        </w:tc>
        <w:tc>
          <w:tcPr>
            <w:tcW w:w="1417" w:type="dxa"/>
            <w:noWrap/>
            <w:vAlign w:val="center"/>
          </w:tcPr>
          <w:p w14:paraId="6750B7E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贾宝莹</w:t>
            </w:r>
          </w:p>
        </w:tc>
        <w:tc>
          <w:tcPr>
            <w:tcW w:w="1336" w:type="dxa"/>
            <w:noWrap/>
            <w:vAlign w:val="center"/>
          </w:tcPr>
          <w:p w14:paraId="1EABA4D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温楚冰</w:t>
            </w:r>
          </w:p>
        </w:tc>
        <w:tc>
          <w:tcPr>
            <w:tcW w:w="1085" w:type="dxa"/>
            <w:noWrap/>
            <w:vAlign w:val="center"/>
          </w:tcPr>
          <w:p w14:paraId="39DF54A6">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王威豪</w:t>
            </w:r>
          </w:p>
        </w:tc>
      </w:tr>
      <w:tr w14:paraId="451E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0D10B68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38</w:t>
            </w:r>
          </w:p>
        </w:tc>
        <w:tc>
          <w:tcPr>
            <w:tcW w:w="988" w:type="dxa"/>
            <w:noWrap/>
            <w:vAlign w:val="center"/>
          </w:tcPr>
          <w:p w14:paraId="55369D5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2B3E5BE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智能经济赋能制造业效率提升——基于北京市面板数据的实证研究</w:t>
            </w:r>
          </w:p>
        </w:tc>
        <w:tc>
          <w:tcPr>
            <w:tcW w:w="1417" w:type="dxa"/>
            <w:noWrap/>
            <w:vAlign w:val="center"/>
          </w:tcPr>
          <w:p w14:paraId="1258BC8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韦昊琳</w:t>
            </w:r>
          </w:p>
        </w:tc>
        <w:tc>
          <w:tcPr>
            <w:tcW w:w="1336" w:type="dxa"/>
            <w:noWrap/>
            <w:vAlign w:val="center"/>
          </w:tcPr>
          <w:p w14:paraId="7146754A">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林馨蕊</w:t>
            </w:r>
          </w:p>
        </w:tc>
        <w:tc>
          <w:tcPr>
            <w:tcW w:w="1085" w:type="dxa"/>
            <w:noWrap/>
            <w:vAlign w:val="center"/>
          </w:tcPr>
          <w:p w14:paraId="370E92B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李沁潞</w:t>
            </w:r>
          </w:p>
        </w:tc>
      </w:tr>
      <w:tr w14:paraId="5920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39314BE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39</w:t>
            </w:r>
          </w:p>
        </w:tc>
        <w:tc>
          <w:tcPr>
            <w:tcW w:w="988" w:type="dxa"/>
            <w:noWrap/>
            <w:vAlign w:val="center"/>
          </w:tcPr>
          <w:p w14:paraId="33393F5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363F104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基于多源数据融合与层级特征筛选的胃癌远处转移风险预测研究</w:t>
            </w:r>
          </w:p>
        </w:tc>
        <w:tc>
          <w:tcPr>
            <w:tcW w:w="1417" w:type="dxa"/>
            <w:noWrap/>
            <w:vAlign w:val="center"/>
          </w:tcPr>
          <w:p w14:paraId="2C60EF7B">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刘逸冰</w:t>
            </w:r>
          </w:p>
        </w:tc>
        <w:tc>
          <w:tcPr>
            <w:tcW w:w="1336" w:type="dxa"/>
            <w:noWrap/>
            <w:vAlign w:val="center"/>
          </w:tcPr>
          <w:p w14:paraId="1DCFFA2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马宛玉</w:t>
            </w:r>
          </w:p>
        </w:tc>
        <w:tc>
          <w:tcPr>
            <w:tcW w:w="1085" w:type="dxa"/>
            <w:noWrap/>
            <w:vAlign w:val="center"/>
          </w:tcPr>
          <w:p w14:paraId="4EBD8EE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徐浩然</w:t>
            </w:r>
          </w:p>
        </w:tc>
      </w:tr>
      <w:tr w14:paraId="248F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3C890AF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40</w:t>
            </w:r>
          </w:p>
        </w:tc>
        <w:tc>
          <w:tcPr>
            <w:tcW w:w="988" w:type="dxa"/>
            <w:noWrap/>
            <w:vAlign w:val="center"/>
          </w:tcPr>
          <w:p w14:paraId="707751E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2C8D8AB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“数字赋能、绿色协同”—新型工业化进程下双碳目标实现路径与趋势预测研究</w:t>
            </w:r>
          </w:p>
        </w:tc>
        <w:tc>
          <w:tcPr>
            <w:tcW w:w="1417" w:type="dxa"/>
            <w:noWrap/>
            <w:vAlign w:val="center"/>
          </w:tcPr>
          <w:p w14:paraId="4D0E93A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叶涛震</w:t>
            </w:r>
          </w:p>
        </w:tc>
        <w:tc>
          <w:tcPr>
            <w:tcW w:w="1336" w:type="dxa"/>
            <w:noWrap/>
            <w:vAlign w:val="center"/>
          </w:tcPr>
          <w:p w14:paraId="4344127D">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王晟程</w:t>
            </w:r>
          </w:p>
        </w:tc>
        <w:tc>
          <w:tcPr>
            <w:tcW w:w="1085" w:type="dxa"/>
            <w:noWrap/>
            <w:vAlign w:val="center"/>
          </w:tcPr>
          <w:p w14:paraId="2586198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王思宝</w:t>
            </w:r>
          </w:p>
        </w:tc>
      </w:tr>
      <w:tr w14:paraId="136E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250DE66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41</w:t>
            </w:r>
          </w:p>
        </w:tc>
        <w:tc>
          <w:tcPr>
            <w:tcW w:w="988" w:type="dxa"/>
            <w:noWrap/>
            <w:vAlign w:val="center"/>
          </w:tcPr>
          <w:p w14:paraId="214E087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49A6A1E7">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面向积极应对人口老龄化战略的城市养老服务需求预测与资源配置优化研究</w:t>
            </w:r>
          </w:p>
        </w:tc>
        <w:tc>
          <w:tcPr>
            <w:tcW w:w="1417" w:type="dxa"/>
            <w:noWrap/>
            <w:vAlign w:val="center"/>
          </w:tcPr>
          <w:p w14:paraId="189E065E">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王芷琳</w:t>
            </w:r>
          </w:p>
        </w:tc>
        <w:tc>
          <w:tcPr>
            <w:tcW w:w="1336" w:type="dxa"/>
            <w:noWrap/>
            <w:vAlign w:val="center"/>
          </w:tcPr>
          <w:p w14:paraId="016709C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章静怡</w:t>
            </w:r>
          </w:p>
        </w:tc>
        <w:tc>
          <w:tcPr>
            <w:tcW w:w="1085" w:type="dxa"/>
            <w:noWrap/>
            <w:vAlign w:val="center"/>
          </w:tcPr>
          <w:p w14:paraId="68EE277F">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刘朋</w:t>
            </w:r>
            <w:r>
              <w:rPr>
                <w:rFonts w:hint="eastAsia" w:ascii="宋体" w:hAnsi="宋体" w:cs="宋体"/>
                <w:kern w:val="2"/>
                <w:sz w:val="21"/>
                <w:szCs w:val="21"/>
              </w:rPr>
              <w:t>瑀</w:t>
            </w:r>
          </w:p>
        </w:tc>
      </w:tr>
      <w:tr w14:paraId="717D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05A8EE4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42</w:t>
            </w:r>
          </w:p>
        </w:tc>
        <w:tc>
          <w:tcPr>
            <w:tcW w:w="988" w:type="dxa"/>
            <w:noWrap/>
            <w:vAlign w:val="center"/>
          </w:tcPr>
          <w:p w14:paraId="3CC93BD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0F093CC3">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情感极化视角下生育政策网络舆情的驱动机制与动态演化——以延迟退休为例</w:t>
            </w:r>
          </w:p>
        </w:tc>
        <w:tc>
          <w:tcPr>
            <w:tcW w:w="1417" w:type="dxa"/>
            <w:noWrap/>
            <w:vAlign w:val="center"/>
          </w:tcPr>
          <w:p w14:paraId="706CCB45">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赵际宇</w:t>
            </w:r>
          </w:p>
        </w:tc>
        <w:tc>
          <w:tcPr>
            <w:tcW w:w="1336" w:type="dxa"/>
            <w:noWrap/>
            <w:vAlign w:val="center"/>
          </w:tcPr>
          <w:p w14:paraId="18BF0C6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汪新阳</w:t>
            </w:r>
          </w:p>
        </w:tc>
        <w:tc>
          <w:tcPr>
            <w:tcW w:w="1085" w:type="dxa"/>
            <w:noWrap/>
            <w:vAlign w:val="center"/>
          </w:tcPr>
          <w:p w14:paraId="744AB7E2">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王许宁</w:t>
            </w:r>
          </w:p>
        </w:tc>
      </w:tr>
      <w:tr w14:paraId="1E94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26" w:type="dxa"/>
            <w:noWrap/>
            <w:vAlign w:val="center"/>
          </w:tcPr>
          <w:p w14:paraId="6D1AA239">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43</w:t>
            </w:r>
          </w:p>
        </w:tc>
        <w:tc>
          <w:tcPr>
            <w:tcW w:w="988" w:type="dxa"/>
            <w:noWrap/>
            <w:vAlign w:val="center"/>
          </w:tcPr>
          <w:p w14:paraId="31CE4358">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三等奖</w:t>
            </w:r>
          </w:p>
        </w:tc>
        <w:tc>
          <w:tcPr>
            <w:tcW w:w="3514" w:type="dxa"/>
            <w:noWrap/>
            <w:vAlign w:val="center"/>
          </w:tcPr>
          <w:p w14:paraId="50FA4A5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人工智能赋能制造业高质量发展的实证研究 ——基于多维指标与文本挖掘的双重视角分析</w:t>
            </w:r>
          </w:p>
        </w:tc>
        <w:tc>
          <w:tcPr>
            <w:tcW w:w="1417" w:type="dxa"/>
            <w:noWrap/>
            <w:vAlign w:val="center"/>
          </w:tcPr>
          <w:p w14:paraId="2D025DAC">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张旭</w:t>
            </w:r>
          </w:p>
        </w:tc>
        <w:tc>
          <w:tcPr>
            <w:tcW w:w="1336" w:type="dxa"/>
            <w:noWrap/>
            <w:vAlign w:val="center"/>
          </w:tcPr>
          <w:p w14:paraId="4ED04B34">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周成鑫</w:t>
            </w:r>
          </w:p>
        </w:tc>
        <w:tc>
          <w:tcPr>
            <w:tcW w:w="1085" w:type="dxa"/>
            <w:noWrap/>
            <w:vAlign w:val="center"/>
          </w:tcPr>
          <w:p w14:paraId="27E1DAD1">
            <w:pPr>
              <w:autoSpaceDE/>
              <w:autoSpaceDN/>
              <w:adjustRightInd/>
              <w:spacing w:before="120" w:beforeLines="50" w:after="240" w:afterLines="100"/>
              <w:jc w:val="center"/>
              <w:rPr>
                <w:rFonts w:ascii="宋体" w:hAnsi="宋体"/>
                <w:kern w:val="2"/>
                <w:sz w:val="21"/>
                <w:szCs w:val="21"/>
              </w:rPr>
            </w:pPr>
            <w:r>
              <w:rPr>
                <w:rFonts w:hint="eastAsia" w:ascii="宋体" w:hAnsi="宋体"/>
                <w:kern w:val="2"/>
                <w:sz w:val="21"/>
                <w:szCs w:val="21"/>
              </w:rPr>
              <w:t>赵中瑞</w:t>
            </w:r>
          </w:p>
        </w:tc>
      </w:tr>
    </w:tbl>
    <w:p w14:paraId="6B7FA67C">
      <w:pPr>
        <w:autoSpaceDE/>
        <w:autoSpaceDN/>
        <w:adjustRightInd/>
        <w:spacing w:before="120" w:beforeLines="50" w:after="240" w:afterLines="100"/>
        <w:rPr>
          <w:rFonts w:ascii="方正小标宋简体" w:hAnsi="华文中宋" w:eastAsia="方正小标宋简体"/>
          <w:kern w:val="2"/>
          <w:sz w:val="32"/>
          <w:szCs w:val="32"/>
        </w:rPr>
      </w:pPr>
    </w:p>
    <w:bookmarkEnd w:id="0"/>
    <w:sectPr>
      <w:footerReference r:id="rId3" w:type="default"/>
      <w:footerReference r:id="rId4" w:type="even"/>
      <w:type w:val="continuous"/>
      <w:pgSz w:w="11906" w:h="16840"/>
      <w:pgMar w:top="1559" w:right="1678" w:bottom="278" w:left="1678" w:header="720" w:footer="737" w:gutter="0"/>
      <w:pgNumType w:fmt="numberInDash"/>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5AF8539-5E73-4BA3-B286-53BB1C3BC801}"/>
  </w:font>
  <w:font w:name="华文中宋">
    <w:panose1 w:val="02010600040101010101"/>
    <w:charset w:val="86"/>
    <w:family w:val="auto"/>
    <w:pitch w:val="default"/>
    <w:sig w:usb0="00000287" w:usb1="080F0000" w:usb2="00000000" w:usb3="00000000" w:csb0="0004009F" w:csb1="DFD70000"/>
    <w:embedRegular r:id="rId2" w:fontKey="{AFBC3667-CA97-4C4E-BBA9-29B71BCBBD8B}"/>
  </w:font>
  <w:font w:name="方正小标宋简体">
    <w:panose1 w:val="02000000000000000000"/>
    <w:charset w:val="86"/>
    <w:family w:val="auto"/>
    <w:pitch w:val="default"/>
    <w:sig w:usb0="A00002BF" w:usb1="184F6CFA" w:usb2="00000012" w:usb3="00000000" w:csb0="00040001" w:csb1="00000000"/>
    <w:embedRegular r:id="rId3" w:fontKey="{92804015-1CD8-40B0-9E84-22521976F7F1}"/>
  </w:font>
  <w:font w:name="仿宋_GB2312">
    <w:altName w:val="仿宋"/>
    <w:panose1 w:val="02010609030101010101"/>
    <w:charset w:val="86"/>
    <w:family w:val="modern"/>
    <w:pitch w:val="default"/>
    <w:sig w:usb0="00000000" w:usb1="00000000" w:usb2="00000010" w:usb3="00000000" w:csb0="00040000" w:csb1="00000000"/>
    <w:embedRegular r:id="rId4" w:fontKey="{FEC94C23-780D-44AF-820F-9CBF7AE9E43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91C0D">
    <w:pPr>
      <w:pStyle w:val="5"/>
      <w:tabs>
        <w:tab w:val="right" w:pos="8546"/>
        <w:tab w:val="clear" w:pos="4153"/>
        <w:tab w:val="clear" w:pos="8306"/>
      </w:tabs>
      <w:wordWrap w:val="0"/>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3 -</w:t>
    </w:r>
    <w:r>
      <w:rPr>
        <w:rFonts w:ascii="宋体" w:hAnsi="宋体"/>
        <w:sz w:val="28"/>
        <w:szCs w:val="28"/>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F107E">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hideSpellingErrors/>
  <w:hideGrammaticalErrors/>
  <w:documentProtection w:enforcement="0"/>
  <w:defaultTabStop w:val="720"/>
  <w:evenAndOddHeaders w:val="1"/>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96A"/>
    <w:rsid w:val="00000DA8"/>
    <w:rsid w:val="0000383C"/>
    <w:rsid w:val="000054A7"/>
    <w:rsid w:val="0000688B"/>
    <w:rsid w:val="00007AE8"/>
    <w:rsid w:val="00020583"/>
    <w:rsid w:val="00022535"/>
    <w:rsid w:val="00025502"/>
    <w:rsid w:val="00025B78"/>
    <w:rsid w:val="00031B9D"/>
    <w:rsid w:val="00034B97"/>
    <w:rsid w:val="0004193F"/>
    <w:rsid w:val="00044592"/>
    <w:rsid w:val="000524D5"/>
    <w:rsid w:val="00055D97"/>
    <w:rsid w:val="00060EC7"/>
    <w:rsid w:val="00062063"/>
    <w:rsid w:val="000671C4"/>
    <w:rsid w:val="000762A1"/>
    <w:rsid w:val="000819CF"/>
    <w:rsid w:val="00081B46"/>
    <w:rsid w:val="00086E1A"/>
    <w:rsid w:val="00087401"/>
    <w:rsid w:val="000904FF"/>
    <w:rsid w:val="00091AFC"/>
    <w:rsid w:val="00092300"/>
    <w:rsid w:val="00092E5D"/>
    <w:rsid w:val="00094543"/>
    <w:rsid w:val="00096A70"/>
    <w:rsid w:val="000A3A78"/>
    <w:rsid w:val="000B1B93"/>
    <w:rsid w:val="000B25D7"/>
    <w:rsid w:val="000C0AB0"/>
    <w:rsid w:val="000D09F4"/>
    <w:rsid w:val="000D2850"/>
    <w:rsid w:val="000F31F1"/>
    <w:rsid w:val="000F5380"/>
    <w:rsid w:val="000F7D74"/>
    <w:rsid w:val="001038EE"/>
    <w:rsid w:val="00104513"/>
    <w:rsid w:val="0011187D"/>
    <w:rsid w:val="00117AEB"/>
    <w:rsid w:val="00120F3B"/>
    <w:rsid w:val="001216C2"/>
    <w:rsid w:val="00131655"/>
    <w:rsid w:val="00132F5F"/>
    <w:rsid w:val="001349C1"/>
    <w:rsid w:val="001361EE"/>
    <w:rsid w:val="001372AB"/>
    <w:rsid w:val="001402D6"/>
    <w:rsid w:val="001621F7"/>
    <w:rsid w:val="0016412A"/>
    <w:rsid w:val="00166BDF"/>
    <w:rsid w:val="00173B7E"/>
    <w:rsid w:val="0017674F"/>
    <w:rsid w:val="00182DFC"/>
    <w:rsid w:val="0019163A"/>
    <w:rsid w:val="00192B6D"/>
    <w:rsid w:val="001930C5"/>
    <w:rsid w:val="001975F6"/>
    <w:rsid w:val="001A0895"/>
    <w:rsid w:val="001A147F"/>
    <w:rsid w:val="001A152A"/>
    <w:rsid w:val="001A2055"/>
    <w:rsid w:val="001A3268"/>
    <w:rsid w:val="001A4B6F"/>
    <w:rsid w:val="001A7ADD"/>
    <w:rsid w:val="001B2AD5"/>
    <w:rsid w:val="001C0739"/>
    <w:rsid w:val="001C2CB3"/>
    <w:rsid w:val="001C40AF"/>
    <w:rsid w:val="001D4C74"/>
    <w:rsid w:val="001E5F91"/>
    <w:rsid w:val="001E7865"/>
    <w:rsid w:val="001F7AE9"/>
    <w:rsid w:val="00206289"/>
    <w:rsid w:val="0020794D"/>
    <w:rsid w:val="00210A10"/>
    <w:rsid w:val="00212A5A"/>
    <w:rsid w:val="00223C78"/>
    <w:rsid w:val="00223CC0"/>
    <w:rsid w:val="00226713"/>
    <w:rsid w:val="00227CF8"/>
    <w:rsid w:val="00235B8B"/>
    <w:rsid w:val="002438FF"/>
    <w:rsid w:val="0024437D"/>
    <w:rsid w:val="0024591B"/>
    <w:rsid w:val="00247AF0"/>
    <w:rsid w:val="00253771"/>
    <w:rsid w:val="00253FEF"/>
    <w:rsid w:val="00256896"/>
    <w:rsid w:val="00261465"/>
    <w:rsid w:val="00262A88"/>
    <w:rsid w:val="00264BEB"/>
    <w:rsid w:val="002653F5"/>
    <w:rsid w:val="002671EB"/>
    <w:rsid w:val="00272950"/>
    <w:rsid w:val="00273A0E"/>
    <w:rsid w:val="002750DD"/>
    <w:rsid w:val="002828B9"/>
    <w:rsid w:val="002839B9"/>
    <w:rsid w:val="00284CB8"/>
    <w:rsid w:val="00285284"/>
    <w:rsid w:val="002852AE"/>
    <w:rsid w:val="00295893"/>
    <w:rsid w:val="002A7060"/>
    <w:rsid w:val="002A7852"/>
    <w:rsid w:val="002B76D5"/>
    <w:rsid w:val="002C6EE0"/>
    <w:rsid w:val="002D3925"/>
    <w:rsid w:val="002D624B"/>
    <w:rsid w:val="002F3C61"/>
    <w:rsid w:val="002F5A2F"/>
    <w:rsid w:val="00306CB4"/>
    <w:rsid w:val="003071F7"/>
    <w:rsid w:val="00312157"/>
    <w:rsid w:val="00317AD7"/>
    <w:rsid w:val="00322965"/>
    <w:rsid w:val="00324BBA"/>
    <w:rsid w:val="003252F9"/>
    <w:rsid w:val="00331D02"/>
    <w:rsid w:val="0033413C"/>
    <w:rsid w:val="00334EA0"/>
    <w:rsid w:val="0033707B"/>
    <w:rsid w:val="00337ABB"/>
    <w:rsid w:val="00337FFD"/>
    <w:rsid w:val="00343DE0"/>
    <w:rsid w:val="003440A8"/>
    <w:rsid w:val="00345F98"/>
    <w:rsid w:val="00347E43"/>
    <w:rsid w:val="003504D9"/>
    <w:rsid w:val="00351364"/>
    <w:rsid w:val="003517DA"/>
    <w:rsid w:val="003519F6"/>
    <w:rsid w:val="00353331"/>
    <w:rsid w:val="00364CB1"/>
    <w:rsid w:val="003652CE"/>
    <w:rsid w:val="00365CC0"/>
    <w:rsid w:val="00370ABA"/>
    <w:rsid w:val="00376BC8"/>
    <w:rsid w:val="0037795E"/>
    <w:rsid w:val="003829C7"/>
    <w:rsid w:val="0038588E"/>
    <w:rsid w:val="00385C06"/>
    <w:rsid w:val="003875EC"/>
    <w:rsid w:val="0039108C"/>
    <w:rsid w:val="003A24EE"/>
    <w:rsid w:val="003A61BE"/>
    <w:rsid w:val="003B0A38"/>
    <w:rsid w:val="003B4C7B"/>
    <w:rsid w:val="003C09B2"/>
    <w:rsid w:val="003C0B8B"/>
    <w:rsid w:val="003C4F10"/>
    <w:rsid w:val="003D0891"/>
    <w:rsid w:val="003F4784"/>
    <w:rsid w:val="003F57E7"/>
    <w:rsid w:val="0040196A"/>
    <w:rsid w:val="00412399"/>
    <w:rsid w:val="00415FEF"/>
    <w:rsid w:val="004245C3"/>
    <w:rsid w:val="00425CCE"/>
    <w:rsid w:val="004267AB"/>
    <w:rsid w:val="00426EEF"/>
    <w:rsid w:val="004311B9"/>
    <w:rsid w:val="00436B3B"/>
    <w:rsid w:val="00446FFF"/>
    <w:rsid w:val="004519A0"/>
    <w:rsid w:val="00454CF8"/>
    <w:rsid w:val="00455187"/>
    <w:rsid w:val="00457CEC"/>
    <w:rsid w:val="00464AF9"/>
    <w:rsid w:val="0046679D"/>
    <w:rsid w:val="00474A4C"/>
    <w:rsid w:val="00481909"/>
    <w:rsid w:val="0048501C"/>
    <w:rsid w:val="00486674"/>
    <w:rsid w:val="004926A5"/>
    <w:rsid w:val="004927A1"/>
    <w:rsid w:val="00494E1D"/>
    <w:rsid w:val="004A2087"/>
    <w:rsid w:val="004B0716"/>
    <w:rsid w:val="004B2005"/>
    <w:rsid w:val="004B571B"/>
    <w:rsid w:val="004B605F"/>
    <w:rsid w:val="004C54CD"/>
    <w:rsid w:val="004D0431"/>
    <w:rsid w:val="004D43ED"/>
    <w:rsid w:val="004D47A5"/>
    <w:rsid w:val="004D5B20"/>
    <w:rsid w:val="004D66D0"/>
    <w:rsid w:val="004D7447"/>
    <w:rsid w:val="004E3731"/>
    <w:rsid w:val="004E46BD"/>
    <w:rsid w:val="004F094F"/>
    <w:rsid w:val="004F15D4"/>
    <w:rsid w:val="004F4AF6"/>
    <w:rsid w:val="004F6255"/>
    <w:rsid w:val="004F771A"/>
    <w:rsid w:val="00505CF8"/>
    <w:rsid w:val="005105DE"/>
    <w:rsid w:val="00511A52"/>
    <w:rsid w:val="00517994"/>
    <w:rsid w:val="0052075A"/>
    <w:rsid w:val="005210E7"/>
    <w:rsid w:val="00522FD0"/>
    <w:rsid w:val="005328AA"/>
    <w:rsid w:val="00540617"/>
    <w:rsid w:val="005450C3"/>
    <w:rsid w:val="00550ADC"/>
    <w:rsid w:val="005517F5"/>
    <w:rsid w:val="00551D31"/>
    <w:rsid w:val="005628E1"/>
    <w:rsid w:val="005645B3"/>
    <w:rsid w:val="00565F99"/>
    <w:rsid w:val="0058343E"/>
    <w:rsid w:val="00585879"/>
    <w:rsid w:val="005867EC"/>
    <w:rsid w:val="00590849"/>
    <w:rsid w:val="00597A7C"/>
    <w:rsid w:val="005A451E"/>
    <w:rsid w:val="005A69C7"/>
    <w:rsid w:val="005A71C0"/>
    <w:rsid w:val="005B48E4"/>
    <w:rsid w:val="005B692F"/>
    <w:rsid w:val="005C0928"/>
    <w:rsid w:val="005C0B9C"/>
    <w:rsid w:val="005C324C"/>
    <w:rsid w:val="005C5B4B"/>
    <w:rsid w:val="005C7582"/>
    <w:rsid w:val="005D1E54"/>
    <w:rsid w:val="005E3498"/>
    <w:rsid w:val="005E36CE"/>
    <w:rsid w:val="005E3914"/>
    <w:rsid w:val="005E63F1"/>
    <w:rsid w:val="005F4B9F"/>
    <w:rsid w:val="005F7B48"/>
    <w:rsid w:val="00600211"/>
    <w:rsid w:val="006019E9"/>
    <w:rsid w:val="006063B3"/>
    <w:rsid w:val="00606F7C"/>
    <w:rsid w:val="00611252"/>
    <w:rsid w:val="006153C9"/>
    <w:rsid w:val="00620FED"/>
    <w:rsid w:val="0062208A"/>
    <w:rsid w:val="00625FE7"/>
    <w:rsid w:val="006264F9"/>
    <w:rsid w:val="00631353"/>
    <w:rsid w:val="006336EB"/>
    <w:rsid w:val="00641406"/>
    <w:rsid w:val="0064240D"/>
    <w:rsid w:val="00643552"/>
    <w:rsid w:val="00644817"/>
    <w:rsid w:val="00647019"/>
    <w:rsid w:val="00654883"/>
    <w:rsid w:val="00654F62"/>
    <w:rsid w:val="00657773"/>
    <w:rsid w:val="0066196A"/>
    <w:rsid w:val="0066576C"/>
    <w:rsid w:val="0066637C"/>
    <w:rsid w:val="0067426C"/>
    <w:rsid w:val="0067738A"/>
    <w:rsid w:val="00677448"/>
    <w:rsid w:val="00677D80"/>
    <w:rsid w:val="00685754"/>
    <w:rsid w:val="00686046"/>
    <w:rsid w:val="00694B93"/>
    <w:rsid w:val="00695A0D"/>
    <w:rsid w:val="0069620C"/>
    <w:rsid w:val="006A5738"/>
    <w:rsid w:val="006B214B"/>
    <w:rsid w:val="006B39A1"/>
    <w:rsid w:val="006B5938"/>
    <w:rsid w:val="006B6780"/>
    <w:rsid w:val="006C7C48"/>
    <w:rsid w:val="006D1371"/>
    <w:rsid w:val="006D538D"/>
    <w:rsid w:val="006D5744"/>
    <w:rsid w:val="006E0923"/>
    <w:rsid w:val="006E160E"/>
    <w:rsid w:val="006E3A00"/>
    <w:rsid w:val="006E4866"/>
    <w:rsid w:val="006E5339"/>
    <w:rsid w:val="006E7277"/>
    <w:rsid w:val="006F1E9B"/>
    <w:rsid w:val="006F6117"/>
    <w:rsid w:val="0070553E"/>
    <w:rsid w:val="007076F3"/>
    <w:rsid w:val="0071304F"/>
    <w:rsid w:val="00721A66"/>
    <w:rsid w:val="007225F7"/>
    <w:rsid w:val="00723178"/>
    <w:rsid w:val="00725E3E"/>
    <w:rsid w:val="0072746B"/>
    <w:rsid w:val="007303B0"/>
    <w:rsid w:val="00734A16"/>
    <w:rsid w:val="00743548"/>
    <w:rsid w:val="00754CA6"/>
    <w:rsid w:val="00755305"/>
    <w:rsid w:val="00764626"/>
    <w:rsid w:val="00770267"/>
    <w:rsid w:val="007704E7"/>
    <w:rsid w:val="007750A8"/>
    <w:rsid w:val="00777C3B"/>
    <w:rsid w:val="00783EAA"/>
    <w:rsid w:val="007910FD"/>
    <w:rsid w:val="00792966"/>
    <w:rsid w:val="00794322"/>
    <w:rsid w:val="007A0A7E"/>
    <w:rsid w:val="007A354A"/>
    <w:rsid w:val="007A3873"/>
    <w:rsid w:val="007B2E01"/>
    <w:rsid w:val="007B2F91"/>
    <w:rsid w:val="007B33BC"/>
    <w:rsid w:val="007B4F57"/>
    <w:rsid w:val="007C1C5E"/>
    <w:rsid w:val="007C2DE1"/>
    <w:rsid w:val="007C3E6B"/>
    <w:rsid w:val="007C5909"/>
    <w:rsid w:val="007C6B93"/>
    <w:rsid w:val="007C7A66"/>
    <w:rsid w:val="007D053B"/>
    <w:rsid w:val="007D72AE"/>
    <w:rsid w:val="007D7D4D"/>
    <w:rsid w:val="007D7E54"/>
    <w:rsid w:val="007F47CF"/>
    <w:rsid w:val="007F7587"/>
    <w:rsid w:val="00800B63"/>
    <w:rsid w:val="00801658"/>
    <w:rsid w:val="008034A6"/>
    <w:rsid w:val="008036AC"/>
    <w:rsid w:val="00803EB2"/>
    <w:rsid w:val="00804CB3"/>
    <w:rsid w:val="008060DA"/>
    <w:rsid w:val="0080652F"/>
    <w:rsid w:val="00826125"/>
    <w:rsid w:val="0083102A"/>
    <w:rsid w:val="00831D74"/>
    <w:rsid w:val="008371AB"/>
    <w:rsid w:val="008372AD"/>
    <w:rsid w:val="0084006F"/>
    <w:rsid w:val="00842DE4"/>
    <w:rsid w:val="00851155"/>
    <w:rsid w:val="008550D8"/>
    <w:rsid w:val="00857926"/>
    <w:rsid w:val="0086159F"/>
    <w:rsid w:val="00863DA0"/>
    <w:rsid w:val="008725C2"/>
    <w:rsid w:val="00874904"/>
    <w:rsid w:val="00874F94"/>
    <w:rsid w:val="00875E39"/>
    <w:rsid w:val="008813F7"/>
    <w:rsid w:val="00883202"/>
    <w:rsid w:val="008864B3"/>
    <w:rsid w:val="00886CE7"/>
    <w:rsid w:val="00891324"/>
    <w:rsid w:val="00897E4E"/>
    <w:rsid w:val="008A161D"/>
    <w:rsid w:val="008A389F"/>
    <w:rsid w:val="008A560E"/>
    <w:rsid w:val="008A6DB7"/>
    <w:rsid w:val="008B7C75"/>
    <w:rsid w:val="008C1D3B"/>
    <w:rsid w:val="008C4ABD"/>
    <w:rsid w:val="008C6107"/>
    <w:rsid w:val="008C7872"/>
    <w:rsid w:val="008D0927"/>
    <w:rsid w:val="008D0BD1"/>
    <w:rsid w:val="008D3632"/>
    <w:rsid w:val="008D43DA"/>
    <w:rsid w:val="008D5B3B"/>
    <w:rsid w:val="008D668C"/>
    <w:rsid w:val="008D696A"/>
    <w:rsid w:val="008E2891"/>
    <w:rsid w:val="008E42E8"/>
    <w:rsid w:val="008E67DE"/>
    <w:rsid w:val="008F0570"/>
    <w:rsid w:val="008F59ED"/>
    <w:rsid w:val="008F6F0E"/>
    <w:rsid w:val="0090133D"/>
    <w:rsid w:val="00901ED0"/>
    <w:rsid w:val="00902A6B"/>
    <w:rsid w:val="0090478A"/>
    <w:rsid w:val="0091112A"/>
    <w:rsid w:val="00911CC5"/>
    <w:rsid w:val="00913FA3"/>
    <w:rsid w:val="00914B28"/>
    <w:rsid w:val="009201AB"/>
    <w:rsid w:val="00923C20"/>
    <w:rsid w:val="00931415"/>
    <w:rsid w:val="009414AC"/>
    <w:rsid w:val="009419CD"/>
    <w:rsid w:val="00942003"/>
    <w:rsid w:val="00945BF5"/>
    <w:rsid w:val="00950687"/>
    <w:rsid w:val="00951DEB"/>
    <w:rsid w:val="009644C6"/>
    <w:rsid w:val="009662B1"/>
    <w:rsid w:val="00967370"/>
    <w:rsid w:val="009709FB"/>
    <w:rsid w:val="009849CE"/>
    <w:rsid w:val="009871BA"/>
    <w:rsid w:val="00992AE0"/>
    <w:rsid w:val="009957F1"/>
    <w:rsid w:val="00996A9B"/>
    <w:rsid w:val="009A36DB"/>
    <w:rsid w:val="009A694B"/>
    <w:rsid w:val="009A6C01"/>
    <w:rsid w:val="009B42C7"/>
    <w:rsid w:val="009B58C1"/>
    <w:rsid w:val="009B5F93"/>
    <w:rsid w:val="009B7E5D"/>
    <w:rsid w:val="009C16FC"/>
    <w:rsid w:val="009C1B16"/>
    <w:rsid w:val="009C1F85"/>
    <w:rsid w:val="009C37D0"/>
    <w:rsid w:val="009C3E0E"/>
    <w:rsid w:val="009C54FA"/>
    <w:rsid w:val="009C7D79"/>
    <w:rsid w:val="009D16C3"/>
    <w:rsid w:val="009D54AF"/>
    <w:rsid w:val="009E22CD"/>
    <w:rsid w:val="009E474F"/>
    <w:rsid w:val="009E5D54"/>
    <w:rsid w:val="009E726F"/>
    <w:rsid w:val="009E789A"/>
    <w:rsid w:val="009F0BF6"/>
    <w:rsid w:val="009F3EB2"/>
    <w:rsid w:val="009F52A7"/>
    <w:rsid w:val="00A00D76"/>
    <w:rsid w:val="00A024F3"/>
    <w:rsid w:val="00A02DC5"/>
    <w:rsid w:val="00A1686A"/>
    <w:rsid w:val="00A23AAF"/>
    <w:rsid w:val="00A2439E"/>
    <w:rsid w:val="00A25BB6"/>
    <w:rsid w:val="00A3124C"/>
    <w:rsid w:val="00A35D03"/>
    <w:rsid w:val="00A47698"/>
    <w:rsid w:val="00A51A8D"/>
    <w:rsid w:val="00A5550A"/>
    <w:rsid w:val="00A556FD"/>
    <w:rsid w:val="00A673E3"/>
    <w:rsid w:val="00A67EF3"/>
    <w:rsid w:val="00A720D6"/>
    <w:rsid w:val="00A72A87"/>
    <w:rsid w:val="00A83990"/>
    <w:rsid w:val="00A85801"/>
    <w:rsid w:val="00A91929"/>
    <w:rsid w:val="00A974F6"/>
    <w:rsid w:val="00AA0516"/>
    <w:rsid w:val="00AA0F41"/>
    <w:rsid w:val="00AA1449"/>
    <w:rsid w:val="00AA3A15"/>
    <w:rsid w:val="00AA42AB"/>
    <w:rsid w:val="00AA55E2"/>
    <w:rsid w:val="00AA6409"/>
    <w:rsid w:val="00AB139D"/>
    <w:rsid w:val="00AB5721"/>
    <w:rsid w:val="00AC2FF5"/>
    <w:rsid w:val="00AC3387"/>
    <w:rsid w:val="00AD00CF"/>
    <w:rsid w:val="00AD217F"/>
    <w:rsid w:val="00AD2A54"/>
    <w:rsid w:val="00AD368A"/>
    <w:rsid w:val="00AD3DDD"/>
    <w:rsid w:val="00AD6C46"/>
    <w:rsid w:val="00AE4404"/>
    <w:rsid w:val="00AE7FF5"/>
    <w:rsid w:val="00AF245C"/>
    <w:rsid w:val="00B033C6"/>
    <w:rsid w:val="00B07C41"/>
    <w:rsid w:val="00B10E95"/>
    <w:rsid w:val="00B21FDF"/>
    <w:rsid w:val="00B22217"/>
    <w:rsid w:val="00B320D4"/>
    <w:rsid w:val="00B33E32"/>
    <w:rsid w:val="00B52981"/>
    <w:rsid w:val="00B6194E"/>
    <w:rsid w:val="00B67762"/>
    <w:rsid w:val="00B70314"/>
    <w:rsid w:val="00B72D1A"/>
    <w:rsid w:val="00B747C2"/>
    <w:rsid w:val="00B764E2"/>
    <w:rsid w:val="00B8319B"/>
    <w:rsid w:val="00B85141"/>
    <w:rsid w:val="00B874BD"/>
    <w:rsid w:val="00B96D05"/>
    <w:rsid w:val="00B97F5A"/>
    <w:rsid w:val="00BA0DC6"/>
    <w:rsid w:val="00BA111E"/>
    <w:rsid w:val="00BA2745"/>
    <w:rsid w:val="00BA6575"/>
    <w:rsid w:val="00BB0B2D"/>
    <w:rsid w:val="00BB1E33"/>
    <w:rsid w:val="00BB4EFF"/>
    <w:rsid w:val="00BB558E"/>
    <w:rsid w:val="00BB6FCB"/>
    <w:rsid w:val="00BC5C37"/>
    <w:rsid w:val="00BC6231"/>
    <w:rsid w:val="00BD145C"/>
    <w:rsid w:val="00BD2AC2"/>
    <w:rsid w:val="00BD3FCC"/>
    <w:rsid w:val="00BD4E9B"/>
    <w:rsid w:val="00BD5CEA"/>
    <w:rsid w:val="00BD5DE7"/>
    <w:rsid w:val="00BD6248"/>
    <w:rsid w:val="00BD6EDC"/>
    <w:rsid w:val="00BE44D4"/>
    <w:rsid w:val="00BE6D60"/>
    <w:rsid w:val="00BF098D"/>
    <w:rsid w:val="00BF244A"/>
    <w:rsid w:val="00BF2F59"/>
    <w:rsid w:val="00BF65A2"/>
    <w:rsid w:val="00BF6759"/>
    <w:rsid w:val="00C01E1F"/>
    <w:rsid w:val="00C05661"/>
    <w:rsid w:val="00C11096"/>
    <w:rsid w:val="00C13F44"/>
    <w:rsid w:val="00C20A67"/>
    <w:rsid w:val="00C21B6F"/>
    <w:rsid w:val="00C232EB"/>
    <w:rsid w:val="00C353E0"/>
    <w:rsid w:val="00C35C1D"/>
    <w:rsid w:val="00C36802"/>
    <w:rsid w:val="00C37370"/>
    <w:rsid w:val="00C42CFF"/>
    <w:rsid w:val="00C50FA5"/>
    <w:rsid w:val="00C51B44"/>
    <w:rsid w:val="00C53A76"/>
    <w:rsid w:val="00C544B9"/>
    <w:rsid w:val="00C66E60"/>
    <w:rsid w:val="00C717D3"/>
    <w:rsid w:val="00C71A14"/>
    <w:rsid w:val="00C71D24"/>
    <w:rsid w:val="00C72189"/>
    <w:rsid w:val="00C74738"/>
    <w:rsid w:val="00C748DA"/>
    <w:rsid w:val="00C8565E"/>
    <w:rsid w:val="00C8681A"/>
    <w:rsid w:val="00C90AEF"/>
    <w:rsid w:val="00C9571C"/>
    <w:rsid w:val="00C9654D"/>
    <w:rsid w:val="00C96740"/>
    <w:rsid w:val="00C97C2F"/>
    <w:rsid w:val="00CA094B"/>
    <w:rsid w:val="00CA1232"/>
    <w:rsid w:val="00CA7166"/>
    <w:rsid w:val="00CB00E6"/>
    <w:rsid w:val="00CB0972"/>
    <w:rsid w:val="00CB257F"/>
    <w:rsid w:val="00CB2868"/>
    <w:rsid w:val="00CB3046"/>
    <w:rsid w:val="00CB7C4B"/>
    <w:rsid w:val="00CC068C"/>
    <w:rsid w:val="00CC1204"/>
    <w:rsid w:val="00CC1932"/>
    <w:rsid w:val="00CC3EC0"/>
    <w:rsid w:val="00CC4F7C"/>
    <w:rsid w:val="00CC69F0"/>
    <w:rsid w:val="00CD21F8"/>
    <w:rsid w:val="00CD44E6"/>
    <w:rsid w:val="00CD74E1"/>
    <w:rsid w:val="00CE1006"/>
    <w:rsid w:val="00CE19BC"/>
    <w:rsid w:val="00CE2686"/>
    <w:rsid w:val="00CE4B17"/>
    <w:rsid w:val="00CE66FB"/>
    <w:rsid w:val="00CE678B"/>
    <w:rsid w:val="00CF2ED9"/>
    <w:rsid w:val="00CF5E21"/>
    <w:rsid w:val="00CF65EE"/>
    <w:rsid w:val="00CF7E0A"/>
    <w:rsid w:val="00D05042"/>
    <w:rsid w:val="00D10884"/>
    <w:rsid w:val="00D11717"/>
    <w:rsid w:val="00D13059"/>
    <w:rsid w:val="00D15147"/>
    <w:rsid w:val="00D21461"/>
    <w:rsid w:val="00D32E87"/>
    <w:rsid w:val="00D33666"/>
    <w:rsid w:val="00D339A9"/>
    <w:rsid w:val="00D37E2B"/>
    <w:rsid w:val="00D5340B"/>
    <w:rsid w:val="00D61CC4"/>
    <w:rsid w:val="00D62B02"/>
    <w:rsid w:val="00D64E13"/>
    <w:rsid w:val="00D66E1D"/>
    <w:rsid w:val="00D71786"/>
    <w:rsid w:val="00D736CC"/>
    <w:rsid w:val="00D74B16"/>
    <w:rsid w:val="00D750A2"/>
    <w:rsid w:val="00D819E5"/>
    <w:rsid w:val="00D85AFF"/>
    <w:rsid w:val="00D87DC3"/>
    <w:rsid w:val="00D93191"/>
    <w:rsid w:val="00D9371B"/>
    <w:rsid w:val="00D938D4"/>
    <w:rsid w:val="00DA111E"/>
    <w:rsid w:val="00DA2F1D"/>
    <w:rsid w:val="00DA7F57"/>
    <w:rsid w:val="00DB6F51"/>
    <w:rsid w:val="00DC2F58"/>
    <w:rsid w:val="00DC37B6"/>
    <w:rsid w:val="00DC38A3"/>
    <w:rsid w:val="00DC794B"/>
    <w:rsid w:val="00DD04CB"/>
    <w:rsid w:val="00DD04D0"/>
    <w:rsid w:val="00DD46F1"/>
    <w:rsid w:val="00DD4D7A"/>
    <w:rsid w:val="00DF2A2B"/>
    <w:rsid w:val="00DF57B7"/>
    <w:rsid w:val="00E02089"/>
    <w:rsid w:val="00E06811"/>
    <w:rsid w:val="00E076C9"/>
    <w:rsid w:val="00E11C4D"/>
    <w:rsid w:val="00E15102"/>
    <w:rsid w:val="00E166A2"/>
    <w:rsid w:val="00E16CD4"/>
    <w:rsid w:val="00E207D6"/>
    <w:rsid w:val="00E27B53"/>
    <w:rsid w:val="00E31E2F"/>
    <w:rsid w:val="00E342BA"/>
    <w:rsid w:val="00E414D2"/>
    <w:rsid w:val="00E43154"/>
    <w:rsid w:val="00E4744C"/>
    <w:rsid w:val="00E513A6"/>
    <w:rsid w:val="00E52762"/>
    <w:rsid w:val="00E53612"/>
    <w:rsid w:val="00E64FDE"/>
    <w:rsid w:val="00E70121"/>
    <w:rsid w:val="00E70643"/>
    <w:rsid w:val="00E74C22"/>
    <w:rsid w:val="00E75991"/>
    <w:rsid w:val="00E7644B"/>
    <w:rsid w:val="00E767A2"/>
    <w:rsid w:val="00E767E2"/>
    <w:rsid w:val="00E76C38"/>
    <w:rsid w:val="00E80D31"/>
    <w:rsid w:val="00E815B5"/>
    <w:rsid w:val="00E85359"/>
    <w:rsid w:val="00E871FA"/>
    <w:rsid w:val="00E9280D"/>
    <w:rsid w:val="00E93D7B"/>
    <w:rsid w:val="00E96A99"/>
    <w:rsid w:val="00EA11FA"/>
    <w:rsid w:val="00EB1E2C"/>
    <w:rsid w:val="00EB2CB9"/>
    <w:rsid w:val="00EB5FD2"/>
    <w:rsid w:val="00EC498A"/>
    <w:rsid w:val="00ED0093"/>
    <w:rsid w:val="00ED0243"/>
    <w:rsid w:val="00ED079E"/>
    <w:rsid w:val="00ED2452"/>
    <w:rsid w:val="00ED348F"/>
    <w:rsid w:val="00EE597E"/>
    <w:rsid w:val="00EF219D"/>
    <w:rsid w:val="00EF27B9"/>
    <w:rsid w:val="00EF598A"/>
    <w:rsid w:val="00EF5A82"/>
    <w:rsid w:val="00F0245C"/>
    <w:rsid w:val="00F02664"/>
    <w:rsid w:val="00F06123"/>
    <w:rsid w:val="00F06BEE"/>
    <w:rsid w:val="00F07843"/>
    <w:rsid w:val="00F13CC1"/>
    <w:rsid w:val="00F16B0A"/>
    <w:rsid w:val="00F16BE7"/>
    <w:rsid w:val="00F20D7D"/>
    <w:rsid w:val="00F25295"/>
    <w:rsid w:val="00F270B8"/>
    <w:rsid w:val="00F3102A"/>
    <w:rsid w:val="00F320AE"/>
    <w:rsid w:val="00F34D82"/>
    <w:rsid w:val="00F36EC7"/>
    <w:rsid w:val="00F420B6"/>
    <w:rsid w:val="00F43CEC"/>
    <w:rsid w:val="00F47E90"/>
    <w:rsid w:val="00F52ECD"/>
    <w:rsid w:val="00F539F2"/>
    <w:rsid w:val="00F610BF"/>
    <w:rsid w:val="00F66FD4"/>
    <w:rsid w:val="00F67CB1"/>
    <w:rsid w:val="00F73189"/>
    <w:rsid w:val="00F87C5B"/>
    <w:rsid w:val="00F90897"/>
    <w:rsid w:val="00F930C6"/>
    <w:rsid w:val="00F938AE"/>
    <w:rsid w:val="00F938EC"/>
    <w:rsid w:val="00F96161"/>
    <w:rsid w:val="00F9754D"/>
    <w:rsid w:val="00F97F57"/>
    <w:rsid w:val="00FA16B4"/>
    <w:rsid w:val="00FA5A9B"/>
    <w:rsid w:val="00FB0163"/>
    <w:rsid w:val="00FB2148"/>
    <w:rsid w:val="00FB3D2C"/>
    <w:rsid w:val="00FB6063"/>
    <w:rsid w:val="00FC25EC"/>
    <w:rsid w:val="00FD10C9"/>
    <w:rsid w:val="00FD68DB"/>
    <w:rsid w:val="00FD6998"/>
    <w:rsid w:val="00FD6FDC"/>
    <w:rsid w:val="00FE3164"/>
    <w:rsid w:val="00FE450F"/>
    <w:rsid w:val="00FF0508"/>
    <w:rsid w:val="00FF251D"/>
    <w:rsid w:val="00FF2A5B"/>
    <w:rsid w:val="00FF7202"/>
    <w:rsid w:val="16F7653D"/>
    <w:rsid w:val="578D1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2"/>
    <w:qFormat/>
    <w:uiPriority w:val="0"/>
    <w:pPr>
      <w:ind w:left="219"/>
    </w:pPr>
    <w:rPr>
      <w:lang w:val="zh-CN" w:eastAsia="zh-CN"/>
    </w:rPr>
  </w:style>
  <w:style w:type="paragraph" w:styleId="3">
    <w:name w:val="Date"/>
    <w:basedOn w:val="1"/>
    <w:next w:val="1"/>
    <w:link w:val="20"/>
    <w:unhideWhenUsed/>
    <w:qFormat/>
    <w:uiPriority w:val="0"/>
    <w:pPr>
      <w:ind w:left="100" w:leftChars="2500"/>
    </w:pPr>
  </w:style>
  <w:style w:type="paragraph" w:styleId="4">
    <w:name w:val="Body Text Indent 2"/>
    <w:basedOn w:val="1"/>
    <w:uiPriority w:val="0"/>
    <w:pPr>
      <w:autoSpaceDE/>
      <w:autoSpaceDN/>
      <w:adjustRightInd/>
      <w:spacing w:after="120" w:line="480" w:lineRule="auto"/>
      <w:ind w:left="420" w:leftChars="200"/>
      <w:jc w:val="both"/>
    </w:pPr>
    <w:rPr>
      <w:kern w:val="2"/>
      <w:sz w:val="21"/>
    </w:rPr>
  </w:style>
  <w:style w:type="paragraph" w:styleId="5">
    <w:name w:val="footer"/>
    <w:basedOn w:val="1"/>
    <w:link w:val="16"/>
    <w:unhideWhenUsed/>
    <w:qFormat/>
    <w:uiPriority w:val="0"/>
    <w:pPr>
      <w:tabs>
        <w:tab w:val="center" w:pos="4153"/>
        <w:tab w:val="right" w:pos="8306"/>
      </w:tabs>
      <w:snapToGrid w:val="0"/>
    </w:pPr>
    <w:rPr>
      <w:sz w:val="18"/>
      <w:szCs w:val="18"/>
      <w:lang w:val="zh-CN" w:eastAsia="zh-CN"/>
    </w:rPr>
  </w:style>
  <w:style w:type="paragraph" w:styleId="6">
    <w:name w:val="header"/>
    <w:basedOn w:val="1"/>
    <w:link w:val="15"/>
    <w:unhideWhenUsed/>
    <w:qFormat/>
    <w:uiPriority w:val="0"/>
    <w:pPr>
      <w:pBdr>
        <w:bottom w:val="single" w:color="auto" w:sz="6" w:space="1"/>
      </w:pBdr>
      <w:tabs>
        <w:tab w:val="center" w:pos="4153"/>
        <w:tab w:val="right" w:pos="8306"/>
      </w:tabs>
      <w:snapToGrid w:val="0"/>
      <w:jc w:val="center"/>
    </w:pPr>
    <w:rPr>
      <w:sz w:val="18"/>
      <w:szCs w:val="18"/>
      <w:lang w:val="zh-CN" w:eastAsia="zh-CN"/>
    </w:rPr>
  </w:style>
  <w:style w:type="table" w:styleId="8">
    <w:name w:val="Table Grid"/>
    <w:basedOn w:val="7"/>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semiHidden/>
    <w:unhideWhenUsed/>
    <w:uiPriority w:val="99"/>
    <w:rPr>
      <w:color w:val="954F72"/>
      <w:u w:val="single"/>
    </w:rPr>
  </w:style>
  <w:style w:type="character" w:styleId="11">
    <w:name w:val="Hyperlink"/>
    <w:qFormat/>
    <w:uiPriority w:val="0"/>
    <w:rPr>
      <w:color w:val="0000FF"/>
      <w:u w:val="single"/>
    </w:rPr>
  </w:style>
  <w:style w:type="character" w:customStyle="1" w:styleId="12">
    <w:name w:val="正文文本 字符"/>
    <w:link w:val="2"/>
    <w:locked/>
    <w:uiPriority w:val="0"/>
    <w:rPr>
      <w:rFonts w:ascii="Times New Roman" w:hAnsi="Times New Roman" w:cs="Times New Roman"/>
      <w:kern w:val="0"/>
      <w:sz w:val="24"/>
      <w:szCs w:val="24"/>
    </w:rPr>
  </w:style>
  <w:style w:type="paragraph" w:styleId="13">
    <w:name w:val="List Paragraph"/>
    <w:basedOn w:val="1"/>
    <w:qFormat/>
    <w:uiPriority w:val="1"/>
  </w:style>
  <w:style w:type="paragraph" w:customStyle="1" w:styleId="14">
    <w:name w:val="Table Paragraph"/>
    <w:basedOn w:val="1"/>
    <w:qFormat/>
    <w:uiPriority w:val="1"/>
  </w:style>
  <w:style w:type="character" w:customStyle="1" w:styleId="15">
    <w:name w:val="页眉 字符"/>
    <w:link w:val="6"/>
    <w:qFormat/>
    <w:locked/>
    <w:uiPriority w:val="0"/>
    <w:rPr>
      <w:rFonts w:ascii="Times New Roman" w:hAnsi="Times New Roman" w:cs="Times New Roman"/>
      <w:kern w:val="0"/>
      <w:sz w:val="18"/>
      <w:szCs w:val="18"/>
    </w:rPr>
  </w:style>
  <w:style w:type="character" w:customStyle="1" w:styleId="16">
    <w:name w:val="页脚 字符"/>
    <w:link w:val="5"/>
    <w:qFormat/>
    <w:locked/>
    <w:uiPriority w:val="0"/>
    <w:rPr>
      <w:rFonts w:ascii="Times New Roman" w:hAnsi="Times New Roman" w:cs="Times New Roman"/>
      <w:kern w:val="0"/>
      <w:sz w:val="18"/>
      <w:szCs w:val="18"/>
    </w:rPr>
  </w:style>
  <w:style w:type="paragraph" w:customStyle="1" w:styleId="17">
    <w:name w:val="列出段落1"/>
    <w:basedOn w:val="1"/>
    <w:uiPriority w:val="0"/>
    <w:pPr>
      <w:autoSpaceDE/>
      <w:autoSpaceDN/>
      <w:adjustRightInd/>
      <w:ind w:firstLine="420" w:firstLineChars="200"/>
      <w:jc w:val="both"/>
    </w:pPr>
    <w:rPr>
      <w:rFonts w:ascii="Calibri" w:hAnsi="Calibri" w:cs="Calibri"/>
      <w:kern w:val="2"/>
      <w:sz w:val="21"/>
      <w:szCs w:val="21"/>
    </w:rPr>
  </w:style>
  <w:style w:type="paragraph" w:customStyle="1" w:styleId="18">
    <w:name w:val="列出段落2"/>
    <w:basedOn w:val="1"/>
    <w:qFormat/>
    <w:uiPriority w:val="0"/>
    <w:pPr>
      <w:autoSpaceDE/>
      <w:autoSpaceDN/>
      <w:adjustRightInd/>
      <w:ind w:firstLine="420" w:firstLineChars="200"/>
      <w:jc w:val="both"/>
    </w:pPr>
    <w:rPr>
      <w:rFonts w:ascii="Calibri" w:hAnsi="Calibri" w:cs="Calibri"/>
      <w:kern w:val="2"/>
      <w:sz w:val="21"/>
      <w:szCs w:val="21"/>
    </w:rPr>
  </w:style>
  <w:style w:type="paragraph" w:customStyle="1" w:styleId="19">
    <w:name w:val="标题1"/>
    <w:basedOn w:val="1"/>
    <w:uiPriority w:val="0"/>
    <w:pPr>
      <w:widowControl/>
      <w:autoSpaceDE/>
      <w:autoSpaceDN/>
      <w:adjustRightInd/>
      <w:spacing w:before="100" w:beforeAutospacing="1" w:after="100" w:afterAutospacing="1" w:line="340" w:lineRule="atLeast"/>
    </w:pPr>
    <w:rPr>
      <w:rFonts w:ascii="宋体" w:hAnsi="宋体" w:cs="宋体"/>
    </w:rPr>
  </w:style>
  <w:style w:type="character" w:customStyle="1" w:styleId="20">
    <w:name w:val="日期 字符"/>
    <w:link w:val="3"/>
    <w:semiHidden/>
    <w:qFormat/>
    <w:uiPriority w:val="99"/>
    <w:rPr>
      <w:rFonts w:ascii="Times New Roman" w:hAnsi="Times New Roman"/>
      <w:sz w:val="24"/>
      <w:szCs w:val="24"/>
    </w:rPr>
  </w:style>
  <w:style w:type="character" w:customStyle="1" w:styleId="21">
    <w:name w:val="Unresolved Mention"/>
    <w:basedOn w:val="9"/>
    <w:semiHidden/>
    <w:unhideWhenUsed/>
    <w:uiPriority w:val="99"/>
    <w:rPr>
      <w:color w:val="605E5C"/>
      <w:shd w:val="clear" w:color="auto" w:fill="E1DFDD"/>
    </w:rPr>
  </w:style>
  <w:style w:type="paragraph" w:customStyle="1" w:styleId="22">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CAB4D-6116-4722-AFC3-DB4309AE1C3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450</Words>
  <Characters>508</Characters>
  <Lines>22</Lines>
  <Paragraphs>6</Paragraphs>
  <TotalTime>415</TotalTime>
  <ScaleCrop>false</ScaleCrop>
  <LinksUpToDate>false</LinksUpToDate>
  <CharactersWithSpaces>581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2019-09-03T00:16:00Z</dcterms:created>
  <dc:creator>User</dc:creator>
  <cp:lastModifiedBy>Colin</cp:lastModifiedBy>
  <cp:lastPrinted>2015-01-12T01:38:00Z</cp:lastPrinted>
  <dcterms:modified xsi:type="dcterms:W3CDTF">2026-05-13T07:03:16Z</dcterms:modified>
  <dc:title>北京交通大学部处函件（线上细下粗）3000份</dc:title>
  <cp:revision>397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eyJoZGlkIjoiOGYyMjFhMDJlZjAyYTA1ZjNkM2U2ZGZiZDA4NWRhZmMiLCJ1c2VySWQiOiIxOTQ1MzA4MzAifQ==</vt:lpwstr>
  </property>
  <property fmtid="{D5CDD505-2E9C-101B-9397-08002B2CF9AE}" pid="3" name="KSOProductBuildVer">
    <vt:lpwstr>2052-12.1.0.25865</vt:lpwstr>
  </property>
  <property fmtid="{D5CDD505-2E9C-101B-9397-08002B2CF9AE}" pid="4" name="ICV">
    <vt:lpwstr>25F0092F8D1F417BA9A9BC27A825F498_13</vt:lpwstr>
  </property>
</Properties>
</file>