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afterLines="50"/>
        <w:jc w:val="center"/>
        <w:rPr>
          <w:rFonts w:hint="eastAsia" w:ascii="华文中宋" w:hAnsi="华文中宋" w:eastAsia="华文中宋"/>
          <w:b/>
          <w:sz w:val="36"/>
          <w:szCs w:val="36"/>
        </w:rPr>
      </w:pPr>
      <w:r>
        <w:rPr>
          <w:rFonts w:hint="eastAsia" w:ascii="华文中宋" w:hAnsi="华文中宋" w:eastAsia="华文中宋"/>
          <w:b/>
          <w:sz w:val="36"/>
          <w:szCs w:val="36"/>
        </w:rPr>
        <w:t>关于</w:t>
      </w:r>
      <w:r>
        <w:rPr>
          <w:rFonts w:hint="eastAsia" w:ascii="华文中宋" w:hAnsi="华文中宋" w:eastAsia="华文中宋"/>
          <w:b/>
          <w:sz w:val="36"/>
          <w:szCs w:val="36"/>
          <w:lang w:val="en-US" w:eastAsia="zh-CN"/>
        </w:rPr>
        <w:t>学院</w:t>
      </w:r>
      <w:r>
        <w:rPr>
          <w:rFonts w:hint="eastAsia" w:ascii="华文中宋" w:hAnsi="华文中宋" w:eastAsia="华文中宋"/>
          <w:b/>
          <w:sz w:val="36"/>
          <w:szCs w:val="36"/>
        </w:rPr>
        <w:t>举办202</w:t>
      </w:r>
      <w:r>
        <w:rPr>
          <w:rFonts w:hint="eastAsia" w:ascii="华文中宋" w:hAnsi="华文中宋" w:eastAsia="华文中宋"/>
          <w:b/>
          <w:sz w:val="36"/>
          <w:szCs w:val="36"/>
          <w:lang w:val="en-US" w:eastAsia="zh-CN"/>
        </w:rPr>
        <w:t>5</w:t>
      </w:r>
      <w:r>
        <w:rPr>
          <w:rFonts w:hint="eastAsia" w:ascii="华文中宋" w:hAnsi="华文中宋" w:eastAsia="华文中宋"/>
          <w:b/>
          <w:sz w:val="36"/>
          <w:szCs w:val="36"/>
        </w:rPr>
        <w:t>第</w:t>
      </w:r>
      <w:r>
        <w:rPr>
          <w:rFonts w:hint="eastAsia" w:ascii="华文中宋" w:hAnsi="华文中宋" w:eastAsia="华文中宋"/>
          <w:b/>
          <w:sz w:val="36"/>
          <w:szCs w:val="36"/>
          <w:lang w:val="en-US" w:eastAsia="zh-CN"/>
        </w:rPr>
        <w:t>十</w:t>
      </w:r>
      <w:r>
        <w:rPr>
          <w:rFonts w:hint="eastAsia" w:ascii="华文中宋" w:hAnsi="华文中宋" w:eastAsia="华文中宋"/>
          <w:b/>
          <w:sz w:val="36"/>
          <w:szCs w:val="36"/>
        </w:rPr>
        <w:t>届海尔“日日顺创客训练营”</w:t>
      </w:r>
    </w:p>
    <w:p>
      <w:pPr>
        <w:spacing w:after="120" w:afterLines="50"/>
        <w:jc w:val="center"/>
        <w:rPr>
          <w:rFonts w:ascii="华文中宋" w:hAnsi="华文中宋" w:eastAsia="华文中宋"/>
          <w:b/>
          <w:sz w:val="36"/>
          <w:szCs w:val="36"/>
        </w:rPr>
      </w:pPr>
      <w:r>
        <w:rPr>
          <w:rFonts w:hint="eastAsia" w:ascii="华文中宋" w:hAnsi="华文中宋" w:eastAsia="华文中宋"/>
          <w:b/>
          <w:sz w:val="36"/>
          <w:szCs w:val="36"/>
        </w:rPr>
        <w:t>校园选拔赛的通知</w:t>
      </w:r>
    </w:p>
    <w:p>
      <w:pPr>
        <w:spacing w:line="300" w:lineRule="auto"/>
        <w:ind w:firstLine="480" w:firstLineChars="200"/>
        <w:jc w:val="both"/>
        <w:rPr>
          <w:rFonts w:eastAsia="仿宋_GB2312"/>
          <w:szCs w:val="28"/>
        </w:rPr>
      </w:pPr>
      <w:r>
        <w:rPr>
          <w:rFonts w:hint="eastAsia" w:eastAsia="仿宋_GB2312"/>
          <w:szCs w:val="28"/>
        </w:rPr>
        <w:t>根据中国物流学会《关于举办2025第十届“日日顺创客训练营”的通知》（物学字〔2025〕6号）的要求，经院校自愿申请，组委会综合考量院校资质、院校资源支持、历届表现及院校宣传等6个维度情况，</w:t>
      </w:r>
      <w:r>
        <w:rPr>
          <w:rFonts w:hint="eastAsia" w:eastAsia="仿宋_GB2312"/>
          <w:szCs w:val="28"/>
          <w:lang w:val="en-US" w:eastAsia="zh-CN"/>
        </w:rPr>
        <w:t>我院成功入围</w:t>
      </w:r>
      <w:r>
        <w:rPr>
          <w:rFonts w:hint="eastAsia" w:eastAsia="仿宋_GB2312"/>
          <w:szCs w:val="28"/>
        </w:rPr>
        <w:t>2025第十届“日日顺创客训练营”参营院校。</w:t>
      </w:r>
      <w:r>
        <w:rPr>
          <w:rFonts w:hint="eastAsia" w:eastAsia="仿宋_GB2312"/>
          <w:szCs w:val="28"/>
          <w:lang w:val="en-US" w:eastAsia="zh-CN"/>
        </w:rPr>
        <w:t>根据组委会要求，参营院校应</w:t>
      </w:r>
      <w:r>
        <w:rPr>
          <w:rFonts w:hint="eastAsia" w:eastAsia="仿宋_GB2312"/>
          <w:szCs w:val="28"/>
        </w:rPr>
        <w:t>积极做好营员动员和选拔创客种子等筹备工作，为参与今年暑期“走进日日顺智慧物流基地”并举行的“天使学”环节做好准备</w:t>
      </w:r>
      <w:r>
        <w:rPr>
          <w:rFonts w:hint="eastAsia" w:eastAsia="仿宋_GB2312"/>
          <w:szCs w:val="28"/>
          <w:lang w:eastAsia="zh-CN"/>
        </w:rPr>
        <w:t>，</w:t>
      </w:r>
      <w:r>
        <w:rPr>
          <w:rFonts w:hint="eastAsia" w:eastAsia="仿宋_GB2312"/>
          <w:szCs w:val="28"/>
        </w:rPr>
        <w:t>现将</w:t>
      </w:r>
      <w:r>
        <w:rPr>
          <w:rFonts w:hint="eastAsia" w:eastAsia="仿宋_GB2312"/>
          <w:szCs w:val="28"/>
          <w:lang w:val="en-US" w:eastAsia="zh-CN"/>
        </w:rPr>
        <w:t>我院举办的校园选拔赛</w:t>
      </w:r>
      <w:r>
        <w:rPr>
          <w:rFonts w:hint="eastAsia" w:eastAsia="仿宋_GB2312"/>
          <w:szCs w:val="28"/>
        </w:rPr>
        <w:t>有关事项通知如下：</w:t>
      </w: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一、竞赛目的</w:t>
      </w:r>
    </w:p>
    <w:p>
      <w:pPr>
        <w:spacing w:line="300" w:lineRule="auto"/>
        <w:ind w:firstLine="480" w:firstLineChars="200"/>
        <w:jc w:val="both"/>
        <w:rPr>
          <w:rFonts w:hint="eastAsia" w:eastAsia="仿宋_GB2312"/>
          <w:szCs w:val="28"/>
        </w:rPr>
      </w:pPr>
      <w:r>
        <w:rPr>
          <w:rFonts w:hint="eastAsia" w:eastAsia="仿宋_GB2312"/>
          <w:szCs w:val="28"/>
        </w:rPr>
        <w:t>为深入实施创新驱动发展战略，支持大学生创客行动，推动供应链场景物流高质量发展</w:t>
      </w:r>
      <w:r>
        <w:rPr>
          <w:rFonts w:hint="default" w:eastAsia="仿宋_GB2312"/>
          <w:szCs w:val="28"/>
        </w:rPr>
        <w:t>，中国物流学会与日日顺供应链科技股份有限公司</w:t>
      </w:r>
      <w:r>
        <w:rPr>
          <w:rFonts w:hint="eastAsia" w:eastAsia="仿宋_GB2312"/>
          <w:szCs w:val="28"/>
          <w:lang w:val="en-US" w:eastAsia="zh-CN"/>
        </w:rPr>
        <w:t>（以下简称“日日顺供应链”）</w:t>
      </w:r>
      <w:r>
        <w:rPr>
          <w:rFonts w:hint="default" w:eastAsia="仿宋_GB2312"/>
          <w:szCs w:val="28"/>
        </w:rPr>
        <w:t>携手有关高校</w:t>
      </w:r>
      <w:r>
        <w:rPr>
          <w:rFonts w:hint="eastAsia" w:eastAsia="仿宋_GB2312"/>
          <w:szCs w:val="28"/>
        </w:rPr>
        <w:t>定于202</w:t>
      </w:r>
      <w:r>
        <w:rPr>
          <w:rFonts w:hint="eastAsia" w:eastAsia="仿宋_GB2312"/>
          <w:szCs w:val="28"/>
          <w:lang w:val="en-US" w:eastAsia="zh-CN"/>
        </w:rPr>
        <w:t>5</w:t>
      </w:r>
      <w:r>
        <w:rPr>
          <w:rFonts w:hint="eastAsia" w:eastAsia="仿宋_GB2312"/>
          <w:szCs w:val="28"/>
        </w:rPr>
        <w:t>年</w:t>
      </w:r>
      <w:r>
        <w:rPr>
          <w:rFonts w:hint="default" w:eastAsia="仿宋_GB2312"/>
          <w:szCs w:val="28"/>
        </w:rPr>
        <w:t>5</w:t>
      </w:r>
      <w:r>
        <w:rPr>
          <w:rFonts w:hint="eastAsia" w:eastAsia="仿宋_GB2312"/>
          <w:szCs w:val="28"/>
        </w:rPr>
        <w:t>月正式启动</w:t>
      </w:r>
      <w:r>
        <w:rPr>
          <w:rFonts w:hint="eastAsia" w:eastAsia="仿宋_GB2312"/>
          <w:szCs w:val="28"/>
          <w:lang w:val="en-US" w:eastAsia="zh-Hans"/>
        </w:rPr>
        <w:t>大赛</w:t>
      </w:r>
      <w:r>
        <w:rPr>
          <w:rFonts w:hint="eastAsia" w:eastAsia="仿宋_GB2312"/>
          <w:szCs w:val="28"/>
        </w:rPr>
        <w:t>。我</w:t>
      </w:r>
      <w:r>
        <w:rPr>
          <w:rFonts w:hint="eastAsia" w:eastAsia="仿宋_GB2312"/>
          <w:szCs w:val="28"/>
          <w:lang w:val="en-US" w:eastAsia="zh-CN"/>
        </w:rPr>
        <w:t>院</w:t>
      </w:r>
      <w:r>
        <w:rPr>
          <w:rFonts w:hint="eastAsia" w:eastAsia="仿宋_GB2312"/>
          <w:szCs w:val="28"/>
        </w:rPr>
        <w:t>作为参赛单位，特于202</w:t>
      </w:r>
      <w:r>
        <w:rPr>
          <w:rFonts w:hint="eastAsia" w:eastAsia="仿宋_GB2312"/>
          <w:szCs w:val="28"/>
          <w:lang w:val="en-US" w:eastAsia="zh-CN"/>
        </w:rPr>
        <w:t>5</w:t>
      </w:r>
      <w:r>
        <w:rPr>
          <w:rFonts w:hint="eastAsia" w:eastAsia="仿宋_GB2312"/>
          <w:szCs w:val="28"/>
        </w:rPr>
        <w:t>年</w:t>
      </w:r>
      <w:r>
        <w:rPr>
          <w:rFonts w:hint="eastAsia" w:eastAsia="仿宋_GB2312"/>
          <w:szCs w:val="28"/>
          <w:lang w:val="en-US" w:eastAsia="zh-CN"/>
        </w:rPr>
        <w:t>6</w:t>
      </w:r>
      <w:r>
        <w:rPr>
          <w:rFonts w:hint="eastAsia" w:eastAsia="仿宋_GB2312"/>
          <w:szCs w:val="28"/>
        </w:rPr>
        <w:t>月举办第</w:t>
      </w:r>
      <w:r>
        <w:rPr>
          <w:rFonts w:hint="eastAsia" w:eastAsia="仿宋_GB2312"/>
          <w:szCs w:val="28"/>
          <w:lang w:val="en-US" w:eastAsia="zh-CN"/>
        </w:rPr>
        <w:t>十</w:t>
      </w:r>
      <w:r>
        <w:rPr>
          <w:rFonts w:hint="eastAsia" w:eastAsia="仿宋_GB2312"/>
          <w:szCs w:val="28"/>
        </w:rPr>
        <w:t>届“日日顺创客训练营”北京交通大学</w:t>
      </w:r>
      <w:r>
        <w:rPr>
          <w:rFonts w:hint="eastAsia" w:eastAsia="仿宋_GB2312"/>
          <w:szCs w:val="28"/>
          <w:lang w:val="en-US" w:eastAsia="zh-CN"/>
        </w:rPr>
        <w:t>校园选拔</w:t>
      </w:r>
      <w:r>
        <w:rPr>
          <w:rFonts w:hint="eastAsia" w:eastAsia="仿宋_GB2312"/>
          <w:szCs w:val="28"/>
        </w:rPr>
        <w:t>赛。</w:t>
      </w:r>
    </w:p>
    <w:p>
      <w:pPr>
        <w:spacing w:line="300" w:lineRule="auto"/>
        <w:ind w:firstLine="480" w:firstLineChars="200"/>
        <w:jc w:val="both"/>
        <w:rPr>
          <w:rFonts w:hint="eastAsia" w:eastAsia="仿宋_GB2312"/>
          <w:szCs w:val="28"/>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二、竞赛组织机构</w:t>
      </w:r>
    </w:p>
    <w:p>
      <w:pPr>
        <w:spacing w:line="300" w:lineRule="auto"/>
        <w:ind w:firstLine="480" w:firstLineChars="200"/>
        <w:jc w:val="both"/>
        <w:rPr>
          <w:rFonts w:hint="eastAsia" w:eastAsia="仿宋_GB2312"/>
          <w:szCs w:val="28"/>
        </w:rPr>
      </w:pPr>
      <w:r>
        <w:rPr>
          <w:rFonts w:hint="eastAsia" w:eastAsia="仿宋_GB2312"/>
          <w:szCs w:val="28"/>
        </w:rPr>
        <w:t>本竞赛由北京交通大学第</w:t>
      </w:r>
      <w:r>
        <w:rPr>
          <w:rFonts w:hint="eastAsia" w:eastAsia="仿宋_GB2312"/>
          <w:szCs w:val="28"/>
          <w:lang w:val="en-US" w:eastAsia="zh-CN"/>
        </w:rPr>
        <w:t>十</w:t>
      </w:r>
      <w:r>
        <w:rPr>
          <w:rFonts w:hint="eastAsia" w:eastAsia="仿宋_GB2312"/>
          <w:szCs w:val="28"/>
        </w:rPr>
        <w:t>届“日日顺创客训练营”竞赛组委会主办，经管学院承办</w:t>
      </w:r>
      <w:r>
        <w:rPr>
          <w:rFonts w:hint="eastAsia" w:eastAsia="仿宋_GB2312"/>
          <w:szCs w:val="28"/>
          <w:lang w:eastAsia="zh-CN"/>
        </w:rPr>
        <w:t>，</w:t>
      </w:r>
      <w:r>
        <w:rPr>
          <w:rFonts w:hint="eastAsia" w:eastAsia="仿宋_GB2312"/>
          <w:szCs w:val="28"/>
        </w:rPr>
        <w:t>设评审专家工作组。</w:t>
      </w:r>
    </w:p>
    <w:p>
      <w:pPr>
        <w:spacing w:line="300" w:lineRule="auto"/>
        <w:ind w:firstLine="480" w:firstLineChars="200"/>
        <w:jc w:val="both"/>
        <w:rPr>
          <w:rFonts w:hint="eastAsia" w:eastAsia="仿宋_GB2312"/>
          <w:szCs w:val="28"/>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三、参赛人员要求</w:t>
      </w:r>
    </w:p>
    <w:p>
      <w:pPr>
        <w:spacing w:line="300" w:lineRule="auto"/>
        <w:ind w:firstLine="480" w:firstLineChars="200"/>
        <w:jc w:val="both"/>
        <w:rPr>
          <w:rFonts w:hint="eastAsia" w:eastAsia="仿宋_GB2312"/>
          <w:szCs w:val="28"/>
        </w:rPr>
      </w:pPr>
      <w:r>
        <w:rPr>
          <w:rFonts w:hint="eastAsia" w:eastAsia="仿宋_GB2312"/>
          <w:szCs w:val="28"/>
        </w:rPr>
        <w:t>由确定的参营院校从物流相关专业在校本科生、研究生中择优选拔，基本条件如下：</w:t>
      </w:r>
    </w:p>
    <w:p>
      <w:pPr>
        <w:spacing w:line="300" w:lineRule="auto"/>
        <w:ind w:firstLine="480" w:firstLineChars="200"/>
        <w:jc w:val="both"/>
        <w:rPr>
          <w:rFonts w:hint="eastAsia" w:eastAsia="仿宋_GB2312"/>
          <w:szCs w:val="28"/>
        </w:rPr>
      </w:pPr>
      <w:r>
        <w:rPr>
          <w:rFonts w:hint="eastAsia" w:eastAsia="仿宋_GB2312"/>
          <w:szCs w:val="28"/>
        </w:rPr>
        <w:t>（一）热爱物流事业，有在物流行业创新创业或就业的愿望；</w:t>
      </w:r>
    </w:p>
    <w:p>
      <w:pPr>
        <w:spacing w:line="300" w:lineRule="auto"/>
        <w:ind w:firstLine="480" w:firstLineChars="200"/>
        <w:jc w:val="both"/>
        <w:rPr>
          <w:rFonts w:hint="eastAsia" w:eastAsia="仿宋_GB2312"/>
          <w:szCs w:val="28"/>
        </w:rPr>
      </w:pPr>
      <w:r>
        <w:rPr>
          <w:rFonts w:hint="eastAsia" w:eastAsia="仿宋_GB2312"/>
          <w:szCs w:val="28"/>
        </w:rPr>
        <w:t>（二）思维活跃，主动性强，创新意识突出；</w:t>
      </w:r>
    </w:p>
    <w:p>
      <w:pPr>
        <w:spacing w:line="300" w:lineRule="auto"/>
        <w:ind w:firstLine="480" w:firstLineChars="200"/>
        <w:jc w:val="both"/>
        <w:rPr>
          <w:rFonts w:hint="eastAsia" w:eastAsia="仿宋_GB2312"/>
          <w:szCs w:val="28"/>
        </w:rPr>
      </w:pPr>
      <w:r>
        <w:rPr>
          <w:rFonts w:hint="eastAsia" w:eastAsia="仿宋_GB2312"/>
          <w:szCs w:val="28"/>
        </w:rPr>
        <w:t>（三）自愿报名参营，具备自主研究能力；</w:t>
      </w:r>
    </w:p>
    <w:p>
      <w:pPr>
        <w:spacing w:line="300" w:lineRule="auto"/>
        <w:ind w:firstLine="480" w:firstLineChars="200"/>
        <w:jc w:val="both"/>
        <w:rPr>
          <w:rFonts w:hint="eastAsia" w:eastAsia="仿宋_GB2312"/>
          <w:szCs w:val="28"/>
        </w:rPr>
      </w:pPr>
      <w:r>
        <w:rPr>
          <w:rFonts w:hint="eastAsia" w:eastAsia="仿宋_GB2312"/>
          <w:szCs w:val="28"/>
        </w:rPr>
        <w:t>（四）具有参加创客训练营全年六大环节活动的时间和精力；</w:t>
      </w:r>
    </w:p>
    <w:p>
      <w:pPr>
        <w:spacing w:line="300" w:lineRule="auto"/>
        <w:ind w:firstLine="480" w:firstLineChars="200"/>
        <w:jc w:val="both"/>
        <w:rPr>
          <w:rFonts w:hint="eastAsia" w:eastAsia="仿宋_GB2312"/>
          <w:szCs w:val="28"/>
        </w:rPr>
      </w:pPr>
      <w:r>
        <w:rPr>
          <w:rFonts w:hint="eastAsia" w:eastAsia="仿宋_GB2312"/>
          <w:szCs w:val="28"/>
        </w:rPr>
        <w:t>（五）往届参加并获得奖项或有专利申请院校优先。</w:t>
      </w:r>
    </w:p>
    <w:p>
      <w:pPr>
        <w:spacing w:line="300" w:lineRule="auto"/>
        <w:ind w:firstLine="480" w:firstLineChars="200"/>
        <w:jc w:val="both"/>
        <w:rPr>
          <w:rFonts w:hint="eastAsia" w:eastAsia="仿宋_GB2312"/>
          <w:szCs w:val="28"/>
        </w:rPr>
      </w:pPr>
      <w:r>
        <w:rPr>
          <w:rFonts w:hint="eastAsia" w:eastAsia="仿宋_GB2312"/>
          <w:szCs w:val="28"/>
        </w:rPr>
        <w:t>为体现我校人才培养“本研贯通、学科融通、产学相通、国际互通”特色，</w:t>
      </w:r>
      <w:r>
        <w:rPr>
          <w:rFonts w:hint="eastAsia" w:eastAsia="仿宋_GB2312"/>
          <w:szCs w:val="28"/>
          <w:lang w:val="en-US" w:eastAsia="zh-CN"/>
        </w:rPr>
        <w:t>鼓励来自北京校区、威海校区</w:t>
      </w:r>
      <w:r>
        <w:rPr>
          <w:rFonts w:hint="eastAsia" w:eastAsia="仿宋_GB2312"/>
          <w:szCs w:val="28"/>
        </w:rPr>
        <w:t>物流</w:t>
      </w:r>
      <w:r>
        <w:rPr>
          <w:rFonts w:hint="eastAsia" w:eastAsia="仿宋_GB2312"/>
          <w:szCs w:val="28"/>
          <w:lang w:val="en-US" w:eastAsia="zh-CN"/>
        </w:rPr>
        <w:t>等相关性</w:t>
      </w:r>
      <w:r>
        <w:rPr>
          <w:rFonts w:hint="eastAsia" w:eastAsia="仿宋_GB2312"/>
          <w:szCs w:val="28"/>
        </w:rPr>
        <w:t>专业</w:t>
      </w:r>
      <w:r>
        <w:rPr>
          <w:rFonts w:hint="eastAsia" w:eastAsia="仿宋_GB2312"/>
          <w:szCs w:val="28"/>
          <w:lang w:val="en-US" w:eastAsia="zh-CN"/>
        </w:rPr>
        <w:t>的</w:t>
      </w:r>
      <w:r>
        <w:rPr>
          <w:rFonts w:hint="eastAsia" w:eastAsia="仿宋_GB2312"/>
          <w:szCs w:val="28"/>
        </w:rPr>
        <w:t>学生报名，组建团队，每个创客团队</w:t>
      </w:r>
      <w:r>
        <w:rPr>
          <w:rFonts w:hint="eastAsia" w:eastAsia="仿宋_GB2312"/>
          <w:szCs w:val="28"/>
          <w:lang w:val="en-US" w:eastAsia="zh-CN"/>
        </w:rPr>
        <w:t>5-8人为宜</w:t>
      </w:r>
      <w:r>
        <w:rPr>
          <w:rFonts w:hint="eastAsia" w:eastAsia="仿宋_GB2312"/>
          <w:szCs w:val="28"/>
        </w:rPr>
        <w:t>。</w:t>
      </w:r>
    </w:p>
    <w:p>
      <w:pPr>
        <w:spacing w:line="300" w:lineRule="auto"/>
        <w:ind w:firstLine="480" w:firstLineChars="200"/>
        <w:jc w:val="both"/>
        <w:rPr>
          <w:rFonts w:hint="eastAsia" w:eastAsia="仿宋_GB2312"/>
          <w:szCs w:val="28"/>
        </w:rPr>
      </w:pPr>
      <w:r>
        <w:rPr>
          <w:rFonts w:hint="eastAsia" w:eastAsia="仿宋_GB2312"/>
          <w:szCs w:val="28"/>
        </w:rPr>
        <w:t>（注：为</w:t>
      </w:r>
      <w:r>
        <w:rPr>
          <w:rFonts w:hint="eastAsia" w:eastAsia="仿宋_GB2312"/>
          <w:szCs w:val="28"/>
          <w:lang w:val="en-US" w:eastAsia="zh-CN"/>
        </w:rPr>
        <w:t>支持</w:t>
      </w:r>
      <w:r>
        <w:rPr>
          <w:rFonts w:hint="eastAsia" w:eastAsia="仿宋_GB2312"/>
          <w:szCs w:val="28"/>
        </w:rPr>
        <w:t>跨学科</w:t>
      </w:r>
      <w:r>
        <w:rPr>
          <w:rFonts w:hint="eastAsia" w:eastAsia="仿宋_GB2312"/>
          <w:szCs w:val="28"/>
          <w:lang w:eastAsia="zh-CN"/>
        </w:rPr>
        <w:t>、</w:t>
      </w:r>
      <w:r>
        <w:rPr>
          <w:rFonts w:hint="eastAsia" w:eastAsia="仿宋_GB2312"/>
          <w:szCs w:val="28"/>
        </w:rPr>
        <w:t>文化的交叉创新</w:t>
      </w:r>
      <w:r>
        <w:rPr>
          <w:rFonts w:hint="eastAsia" w:eastAsia="仿宋_GB2312"/>
          <w:szCs w:val="28"/>
          <w:lang w:val="en-US" w:eastAsia="zh-CN"/>
        </w:rPr>
        <w:t>和促进团队在后续全国比赛中的竞争力</w:t>
      </w:r>
      <w:r>
        <w:rPr>
          <w:rFonts w:hint="eastAsia" w:eastAsia="仿宋_GB2312"/>
          <w:szCs w:val="28"/>
        </w:rPr>
        <w:t>，本次比赛“种子集”</w:t>
      </w:r>
      <w:r>
        <w:rPr>
          <w:rFonts w:hint="eastAsia" w:eastAsia="仿宋_GB2312"/>
          <w:szCs w:val="28"/>
          <w:lang w:val="en-US" w:eastAsia="zh-CN"/>
        </w:rPr>
        <w:t>团队鼓励</w:t>
      </w:r>
      <w:r>
        <w:rPr>
          <w:rFonts w:hint="eastAsia" w:eastAsia="仿宋_GB2312"/>
          <w:szCs w:val="28"/>
        </w:rPr>
        <w:t>本研</w:t>
      </w:r>
      <w:r>
        <w:rPr>
          <w:rFonts w:hint="eastAsia" w:eastAsia="仿宋_GB2312"/>
          <w:szCs w:val="28"/>
          <w:lang w:val="en-US" w:eastAsia="zh-CN"/>
        </w:rPr>
        <w:t>联合</w:t>
      </w:r>
      <w:r>
        <w:rPr>
          <w:rFonts w:hint="eastAsia" w:eastAsia="仿宋_GB2312"/>
          <w:szCs w:val="28"/>
        </w:rPr>
        <w:t>组队、</w:t>
      </w:r>
      <w:r>
        <w:rPr>
          <w:rFonts w:hint="eastAsia" w:eastAsia="仿宋_GB2312"/>
          <w:szCs w:val="28"/>
          <w:lang w:val="en-US" w:eastAsia="zh-CN"/>
        </w:rPr>
        <w:t>吸收</w:t>
      </w:r>
      <w:r>
        <w:rPr>
          <w:rFonts w:hint="eastAsia" w:eastAsia="仿宋_GB2312"/>
          <w:szCs w:val="28"/>
        </w:rPr>
        <w:t>留学生组队</w:t>
      </w:r>
      <w:r>
        <w:rPr>
          <w:rFonts w:hint="eastAsia" w:eastAsia="仿宋_GB2312"/>
          <w:szCs w:val="28"/>
          <w:lang w:eastAsia="zh-CN"/>
        </w:rPr>
        <w:t>，</w:t>
      </w:r>
      <w:r>
        <w:rPr>
          <w:rFonts w:hint="eastAsia" w:eastAsia="仿宋_GB2312"/>
          <w:szCs w:val="28"/>
          <w:lang w:val="en-US" w:eastAsia="zh-CN"/>
        </w:rPr>
        <w:t>校园赛后将为胜出团队统筹配备专业指导教师和辅导团队</w:t>
      </w:r>
      <w:r>
        <w:rPr>
          <w:rFonts w:hint="eastAsia" w:eastAsia="仿宋_GB2312"/>
          <w:szCs w:val="28"/>
        </w:rPr>
        <w:t>）</w:t>
      </w:r>
    </w:p>
    <w:p>
      <w:pPr>
        <w:spacing w:line="300" w:lineRule="auto"/>
        <w:ind w:firstLine="480" w:firstLineChars="200"/>
        <w:jc w:val="both"/>
        <w:rPr>
          <w:rFonts w:hint="eastAsia" w:eastAsia="仿宋_GB2312"/>
          <w:szCs w:val="28"/>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四、竞赛内容及要求</w:t>
      </w:r>
    </w:p>
    <w:p>
      <w:pPr>
        <w:spacing w:line="300" w:lineRule="auto"/>
        <w:ind w:firstLine="480" w:firstLineChars="200"/>
        <w:jc w:val="both"/>
        <w:rPr>
          <w:rFonts w:hint="default" w:eastAsia="仿宋_GB2312"/>
          <w:szCs w:val="28"/>
          <w:lang w:val="en-US" w:eastAsia="zh-CN"/>
        </w:rPr>
      </w:pPr>
      <w:r>
        <w:rPr>
          <w:rFonts w:hint="eastAsia" w:eastAsia="仿宋_GB2312"/>
          <w:szCs w:val="28"/>
          <w:lang w:val="en-US" w:eastAsia="zh-CN"/>
        </w:rPr>
        <w:t>结合附录资料，聚焦日日顺供应链，在数字赋能大背景下，就该企业数字化和AI应用创新、供应链管理模式创新、设施设备应用创新和运营优化升级等方面的问题进行调查分析，并形成研究报告，为企业战略制定</w:t>
      </w:r>
      <w:bookmarkStart w:id="0" w:name="_GoBack"/>
      <w:bookmarkEnd w:id="0"/>
      <w:r>
        <w:rPr>
          <w:rFonts w:hint="eastAsia" w:eastAsia="仿宋_GB2312"/>
          <w:szCs w:val="28"/>
          <w:lang w:val="en-US" w:eastAsia="zh-CN"/>
        </w:rPr>
        <w:t>和运作决策提供参考。</w:t>
      </w:r>
    </w:p>
    <w:p>
      <w:pPr>
        <w:spacing w:line="300" w:lineRule="auto"/>
        <w:ind w:firstLine="480" w:firstLineChars="200"/>
        <w:jc w:val="both"/>
        <w:rPr>
          <w:rFonts w:hint="eastAsia" w:eastAsia="仿宋_GB2312"/>
          <w:szCs w:val="28"/>
        </w:rPr>
      </w:pPr>
      <w:r>
        <w:rPr>
          <w:rFonts w:hint="eastAsia" w:eastAsia="仿宋_GB2312"/>
          <w:szCs w:val="28"/>
        </w:rPr>
        <w:t>报名成功后，要求各参赛</w:t>
      </w:r>
      <w:r>
        <w:rPr>
          <w:rFonts w:hint="eastAsia" w:eastAsia="仿宋_GB2312"/>
          <w:szCs w:val="28"/>
          <w:lang w:val="en-US" w:eastAsia="zh-CN"/>
        </w:rPr>
        <w:t>团队按时</w:t>
      </w:r>
      <w:r>
        <w:rPr>
          <w:rFonts w:hint="eastAsia" w:eastAsia="仿宋_GB2312"/>
          <w:szCs w:val="28"/>
        </w:rPr>
        <w:t>提交研究报告</w:t>
      </w:r>
      <w:r>
        <w:rPr>
          <w:rFonts w:hint="eastAsia" w:eastAsia="仿宋_GB2312"/>
          <w:szCs w:val="28"/>
          <w:lang w:eastAsia="zh-CN"/>
        </w:rPr>
        <w:t>，</w:t>
      </w:r>
      <w:r>
        <w:rPr>
          <w:rFonts w:hint="eastAsia" w:eastAsia="仿宋_GB2312"/>
          <w:szCs w:val="28"/>
        </w:rPr>
        <w:t>进行展示汇报10分钟，并由大赛评委会进行评选。</w:t>
      </w:r>
    </w:p>
    <w:p>
      <w:pPr>
        <w:spacing w:line="300" w:lineRule="auto"/>
        <w:ind w:firstLine="480" w:firstLineChars="200"/>
        <w:jc w:val="both"/>
        <w:rPr>
          <w:rFonts w:hint="eastAsia" w:eastAsia="仿宋_GB2312"/>
          <w:szCs w:val="28"/>
          <w:lang w:eastAsia="zh-CN"/>
        </w:rPr>
      </w:pPr>
      <w:r>
        <w:rPr>
          <w:rFonts w:hint="eastAsia" w:eastAsia="仿宋_GB2312"/>
          <w:szCs w:val="28"/>
        </w:rPr>
        <w:t>校赛设一等奖、二等奖，</w:t>
      </w:r>
      <w:r>
        <w:rPr>
          <w:rFonts w:hint="default" w:eastAsia="仿宋_GB2312"/>
          <w:szCs w:val="28"/>
        </w:rPr>
        <w:t>6</w:t>
      </w:r>
      <w:r>
        <w:rPr>
          <w:rFonts w:hint="eastAsia" w:eastAsia="仿宋_GB2312"/>
          <w:szCs w:val="28"/>
          <w:lang w:val="en-US" w:eastAsia="zh-Hans"/>
        </w:rPr>
        <w:t>个</w:t>
      </w:r>
      <w:r>
        <w:rPr>
          <w:rFonts w:hint="eastAsia" w:eastAsia="仿宋_GB2312"/>
          <w:szCs w:val="28"/>
        </w:rPr>
        <w:t>优胜团队将</w:t>
      </w:r>
      <w:r>
        <w:rPr>
          <w:rFonts w:hint="eastAsia" w:eastAsia="仿宋_GB2312"/>
          <w:szCs w:val="28"/>
          <w:lang w:val="en-US" w:eastAsia="zh-CN"/>
        </w:rPr>
        <w:t>直接</w:t>
      </w:r>
      <w:r>
        <w:rPr>
          <w:rFonts w:hint="eastAsia" w:eastAsia="仿宋_GB2312"/>
          <w:szCs w:val="28"/>
        </w:rPr>
        <w:t>晋级</w:t>
      </w:r>
      <w:r>
        <w:rPr>
          <w:rFonts w:hint="eastAsia" w:eastAsia="仿宋_GB2312"/>
          <w:szCs w:val="28"/>
          <w:lang w:val="en-US" w:eastAsia="zh-Hans"/>
        </w:rPr>
        <w:t>全国比赛A轮</w:t>
      </w:r>
      <w:r>
        <w:rPr>
          <w:rFonts w:hint="eastAsia" w:eastAsia="仿宋_GB2312"/>
          <w:szCs w:val="28"/>
          <w:lang w:eastAsia="zh-CN"/>
        </w:rPr>
        <w:t>！</w:t>
      </w:r>
    </w:p>
    <w:p>
      <w:pPr>
        <w:spacing w:line="300" w:lineRule="auto"/>
        <w:ind w:firstLine="480" w:firstLineChars="200"/>
        <w:jc w:val="both"/>
        <w:rPr>
          <w:rFonts w:hint="eastAsia" w:eastAsia="仿宋_GB2312"/>
          <w:szCs w:val="28"/>
          <w:lang w:eastAsia="zh-CN"/>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五、竞赛安排</w:t>
      </w:r>
    </w:p>
    <w:p>
      <w:pPr>
        <w:spacing w:line="520" w:lineRule="exact"/>
        <w:ind w:firstLine="482" w:firstLineChars="200"/>
        <w:jc w:val="both"/>
        <w:outlineLvl w:val="0"/>
        <w:rPr>
          <w:rFonts w:hint="default" w:eastAsia="仿宋_GB2312"/>
          <w:b/>
          <w:szCs w:val="28"/>
          <w:lang w:val="en-US" w:eastAsia="zh-CN"/>
        </w:rPr>
      </w:pPr>
      <w:r>
        <w:rPr>
          <w:rFonts w:hint="eastAsia" w:eastAsia="仿宋_GB2312"/>
          <w:b/>
          <w:szCs w:val="28"/>
          <w:lang w:val="en-US" w:eastAsia="zh-CN"/>
        </w:rPr>
        <w:t>此次参赛报名优先自行组队的团队（指定组长、团队名）报名，同时接受以个人名义报名（报名后由组委会按照报名先后、所需名额和个人情况编队，团队报名和个人报名二选一）。</w:t>
      </w:r>
    </w:p>
    <w:p>
      <w:pPr>
        <w:spacing w:line="520" w:lineRule="exact"/>
        <w:ind w:firstLine="482" w:firstLineChars="200"/>
        <w:jc w:val="both"/>
        <w:outlineLvl w:val="0"/>
        <w:rPr>
          <w:rFonts w:eastAsia="仿宋_GB2312"/>
          <w:b/>
          <w:szCs w:val="28"/>
        </w:rPr>
      </w:pPr>
      <w:r>
        <w:rPr>
          <w:rFonts w:hint="eastAsia" w:eastAsia="仿宋_GB2312"/>
          <w:b/>
          <w:szCs w:val="28"/>
        </w:rPr>
        <w:t>（一）报名截止时间：202</w:t>
      </w:r>
      <w:r>
        <w:rPr>
          <w:rFonts w:hint="eastAsia" w:eastAsia="仿宋_GB2312"/>
          <w:b/>
          <w:szCs w:val="28"/>
          <w:lang w:val="en-US" w:eastAsia="zh-CN"/>
        </w:rPr>
        <w:t>5</w:t>
      </w:r>
      <w:r>
        <w:rPr>
          <w:rFonts w:hint="eastAsia" w:eastAsia="仿宋_GB2312"/>
          <w:b/>
          <w:szCs w:val="28"/>
        </w:rPr>
        <w:t>年</w:t>
      </w:r>
      <w:r>
        <w:rPr>
          <w:rFonts w:hint="default" w:eastAsia="仿宋_GB2312"/>
          <w:b/>
          <w:szCs w:val="28"/>
        </w:rPr>
        <w:t>6</w:t>
      </w:r>
      <w:r>
        <w:rPr>
          <w:rFonts w:hint="eastAsia" w:eastAsia="仿宋_GB2312"/>
          <w:b/>
          <w:szCs w:val="28"/>
        </w:rPr>
        <w:t>月</w:t>
      </w:r>
      <w:r>
        <w:rPr>
          <w:rFonts w:hint="eastAsia" w:eastAsia="仿宋_GB2312"/>
          <w:b/>
          <w:szCs w:val="28"/>
          <w:lang w:val="en-US" w:eastAsia="zh-CN"/>
        </w:rPr>
        <w:t>10</w:t>
      </w:r>
      <w:r>
        <w:rPr>
          <w:rFonts w:hint="eastAsia" w:eastAsia="仿宋_GB2312"/>
          <w:b/>
          <w:szCs w:val="28"/>
        </w:rPr>
        <w:t>日</w:t>
      </w:r>
    </w:p>
    <w:p>
      <w:pPr>
        <w:spacing w:line="300" w:lineRule="auto"/>
        <w:ind w:firstLine="480" w:firstLineChars="200"/>
        <w:jc w:val="both"/>
        <w:rPr>
          <w:rFonts w:hint="eastAsia" w:eastAsia="仿宋_GB2312"/>
          <w:szCs w:val="28"/>
        </w:rPr>
      </w:pPr>
      <w:r>
        <w:rPr>
          <w:rFonts w:hint="eastAsia" w:eastAsia="仿宋_GB2312"/>
          <w:szCs w:val="28"/>
        </w:rPr>
        <w:t>请参赛</w:t>
      </w:r>
      <w:r>
        <w:rPr>
          <w:rFonts w:hint="eastAsia" w:eastAsia="仿宋_GB2312"/>
          <w:szCs w:val="28"/>
          <w:lang w:val="en-US" w:eastAsia="zh-CN"/>
        </w:rPr>
        <w:t>团队或者个人</w:t>
      </w:r>
      <w:r>
        <w:rPr>
          <w:rFonts w:hint="eastAsia" w:eastAsia="仿宋_GB2312"/>
          <w:szCs w:val="28"/>
        </w:rPr>
        <w:t>（包括本科生和</w:t>
      </w:r>
      <w:r>
        <w:rPr>
          <w:rFonts w:hint="eastAsia" w:eastAsia="仿宋_GB2312"/>
          <w:szCs w:val="28"/>
          <w:lang w:val="en-US" w:eastAsia="zh-CN"/>
        </w:rPr>
        <w:t>硕士、博士</w:t>
      </w:r>
      <w:r>
        <w:rPr>
          <w:rFonts w:hint="eastAsia" w:eastAsia="仿宋_GB2312"/>
          <w:szCs w:val="28"/>
        </w:rPr>
        <w:t>研究生）将</w:t>
      </w:r>
      <w:r>
        <w:rPr>
          <w:rFonts w:hint="eastAsia" w:eastAsia="仿宋_GB2312"/>
          <w:szCs w:val="28"/>
          <w:lang w:val="en-US" w:eastAsia="zh-CN"/>
        </w:rPr>
        <w:t>报名表</w:t>
      </w:r>
      <w:r>
        <w:rPr>
          <w:rFonts w:hint="eastAsia" w:eastAsia="仿宋_GB2312"/>
          <w:szCs w:val="28"/>
        </w:rPr>
        <w:t>，发到指定邮箱：</w:t>
      </w:r>
      <w:r>
        <w:rPr>
          <w:rFonts w:hint="eastAsia" w:eastAsia="仿宋_GB2312"/>
          <w:szCs w:val="28"/>
          <w:highlight w:val="yellow"/>
        </w:rPr>
        <w:t> </w:t>
      </w:r>
      <w:r>
        <w:rPr>
          <w:rFonts w:hint="eastAsia" w:eastAsia="仿宋_GB2312"/>
          <w:szCs w:val="28"/>
          <w:highlight w:val="yellow"/>
          <w:lang w:val="en-US" w:eastAsia="zh-CN"/>
        </w:rPr>
        <w:t>wlbian</w:t>
      </w:r>
      <w:r>
        <w:rPr>
          <w:rFonts w:hint="eastAsia" w:eastAsia="仿宋_GB2312"/>
          <w:szCs w:val="28"/>
          <w:highlight w:val="yellow"/>
        </w:rPr>
        <w:t>@bjtu.edu.cn。</w:t>
      </w:r>
    </w:p>
    <w:p>
      <w:pPr>
        <w:spacing w:line="300" w:lineRule="auto"/>
        <w:ind w:left="2640" w:leftChars="200" w:hanging="2160" w:hangingChars="900"/>
        <w:jc w:val="both"/>
        <w:rPr>
          <w:rFonts w:hint="eastAsia" w:eastAsia="仿宋_GB2312"/>
          <w:szCs w:val="28"/>
        </w:rPr>
      </w:pPr>
      <w:r>
        <w:rPr>
          <w:rFonts w:hint="eastAsia" w:eastAsia="仿宋_GB2312"/>
          <w:szCs w:val="28"/>
        </w:rPr>
        <w:t>       文件命名方式：</w:t>
      </w:r>
    </w:p>
    <w:p>
      <w:pPr>
        <w:spacing w:line="300" w:lineRule="auto"/>
        <w:ind w:left="2640" w:leftChars="900" w:hanging="480" w:hangingChars="200"/>
        <w:jc w:val="both"/>
        <w:rPr>
          <w:rFonts w:eastAsia="仿宋_GB2312"/>
          <w:szCs w:val="28"/>
        </w:rPr>
      </w:pPr>
      <w:r>
        <w:rPr>
          <w:rFonts w:hint="eastAsia" w:eastAsia="仿宋_GB2312"/>
          <w:szCs w:val="28"/>
        </w:rPr>
        <w:t>团队名称+团队负责人姓名+团队</w:t>
      </w:r>
      <w:r>
        <w:rPr>
          <w:rFonts w:hint="eastAsia" w:eastAsia="仿宋_GB2312"/>
          <w:szCs w:val="28"/>
          <w:lang w:val="en-US" w:eastAsia="zh-CN"/>
        </w:rPr>
        <w:t>报名表（*限团队报名）</w:t>
      </w:r>
      <w:r>
        <w:rPr>
          <w:rFonts w:hint="eastAsia" w:eastAsia="仿宋_GB2312"/>
          <w:szCs w:val="28"/>
          <w:lang w:val="en-US" w:eastAsia="zh-CN"/>
        </w:rPr>
        <w:br w:type="textWrapping"/>
      </w:r>
      <w:r>
        <w:rPr>
          <w:rFonts w:hint="eastAsia" w:eastAsia="仿宋_GB2312"/>
          <w:szCs w:val="28"/>
          <w:lang w:val="en-US" w:eastAsia="zh-CN"/>
        </w:rPr>
        <w:t>个人姓名+个人报名表（*限个人报名）</w:t>
      </w:r>
    </w:p>
    <w:p>
      <w:pPr>
        <w:spacing w:line="300" w:lineRule="auto"/>
        <w:ind w:firstLine="482" w:firstLineChars="200"/>
        <w:jc w:val="both"/>
        <w:rPr>
          <w:rFonts w:hint="eastAsia" w:eastAsia="仿宋_GB2312"/>
          <w:b/>
          <w:szCs w:val="28"/>
        </w:rPr>
      </w:pPr>
      <w:r>
        <w:rPr>
          <w:rFonts w:hint="eastAsia" w:eastAsia="仿宋_GB2312"/>
          <w:b/>
          <w:szCs w:val="28"/>
        </w:rPr>
        <w:t>（二）团队</w:t>
      </w:r>
      <w:r>
        <w:rPr>
          <w:rFonts w:hint="eastAsia" w:eastAsia="仿宋_GB2312"/>
          <w:b/>
          <w:szCs w:val="28"/>
          <w:lang w:val="en-US" w:eastAsia="zh-CN"/>
        </w:rPr>
        <w:t>研究</w:t>
      </w:r>
      <w:r>
        <w:rPr>
          <w:rFonts w:hint="eastAsia" w:eastAsia="仿宋_GB2312"/>
          <w:b/>
          <w:szCs w:val="28"/>
        </w:rPr>
        <w:t>：2</w:t>
      </w:r>
      <w:r>
        <w:rPr>
          <w:rFonts w:eastAsia="仿宋_GB2312"/>
          <w:b/>
          <w:szCs w:val="28"/>
        </w:rPr>
        <w:t>02</w:t>
      </w:r>
      <w:r>
        <w:rPr>
          <w:rFonts w:hint="eastAsia" w:eastAsia="仿宋_GB2312"/>
          <w:b/>
          <w:szCs w:val="28"/>
          <w:lang w:val="en-US" w:eastAsia="zh-CN"/>
        </w:rPr>
        <w:t>5</w:t>
      </w:r>
      <w:r>
        <w:rPr>
          <w:rFonts w:hint="eastAsia" w:eastAsia="仿宋_GB2312"/>
          <w:b/>
          <w:szCs w:val="28"/>
        </w:rPr>
        <w:t>年</w:t>
      </w:r>
      <w:r>
        <w:rPr>
          <w:rFonts w:hint="default" w:eastAsia="仿宋_GB2312"/>
          <w:b/>
          <w:szCs w:val="28"/>
        </w:rPr>
        <w:t>6</w:t>
      </w:r>
      <w:r>
        <w:rPr>
          <w:rFonts w:hint="eastAsia" w:eastAsia="仿宋_GB2312"/>
          <w:b/>
          <w:szCs w:val="28"/>
        </w:rPr>
        <w:t>月</w:t>
      </w:r>
      <w:r>
        <w:rPr>
          <w:rFonts w:hint="eastAsia" w:eastAsia="仿宋_GB2312"/>
          <w:b/>
          <w:szCs w:val="28"/>
          <w:lang w:val="en-US" w:eastAsia="zh-CN"/>
        </w:rPr>
        <w:t>11</w:t>
      </w:r>
      <w:r>
        <w:rPr>
          <w:rFonts w:hint="eastAsia" w:eastAsia="仿宋_GB2312"/>
          <w:b/>
          <w:szCs w:val="28"/>
        </w:rPr>
        <w:t>日</w:t>
      </w:r>
      <w:r>
        <w:rPr>
          <w:rFonts w:hint="eastAsia" w:eastAsia="仿宋_GB2312"/>
          <w:b/>
          <w:szCs w:val="28"/>
          <w:lang w:eastAsia="zh-CN"/>
        </w:rPr>
        <w:t>～</w:t>
      </w:r>
      <w:r>
        <w:rPr>
          <w:rFonts w:hint="eastAsia" w:eastAsia="仿宋_GB2312"/>
          <w:b/>
          <w:szCs w:val="28"/>
        </w:rPr>
        <w:t>2</w:t>
      </w:r>
      <w:r>
        <w:rPr>
          <w:rFonts w:eastAsia="仿宋_GB2312"/>
          <w:b/>
          <w:szCs w:val="28"/>
        </w:rPr>
        <w:t>02</w:t>
      </w:r>
      <w:r>
        <w:rPr>
          <w:rFonts w:hint="eastAsia" w:eastAsia="仿宋_GB2312"/>
          <w:b/>
          <w:szCs w:val="28"/>
          <w:lang w:val="en-US" w:eastAsia="zh-CN"/>
        </w:rPr>
        <w:t>5</w:t>
      </w:r>
      <w:r>
        <w:rPr>
          <w:rFonts w:hint="eastAsia" w:eastAsia="仿宋_GB2312"/>
          <w:b/>
          <w:szCs w:val="28"/>
        </w:rPr>
        <w:t>年</w:t>
      </w:r>
      <w:r>
        <w:rPr>
          <w:rFonts w:hint="default" w:eastAsia="仿宋_GB2312"/>
          <w:b/>
          <w:szCs w:val="28"/>
        </w:rPr>
        <w:t>6</w:t>
      </w:r>
      <w:r>
        <w:rPr>
          <w:rFonts w:hint="eastAsia" w:eastAsia="仿宋_GB2312"/>
          <w:b/>
          <w:szCs w:val="28"/>
        </w:rPr>
        <w:t>月</w:t>
      </w:r>
      <w:r>
        <w:rPr>
          <w:rFonts w:hint="eastAsia" w:eastAsia="仿宋_GB2312"/>
          <w:b/>
          <w:szCs w:val="28"/>
          <w:lang w:val="en-US" w:eastAsia="zh-CN"/>
        </w:rPr>
        <w:t>17</w:t>
      </w:r>
      <w:r>
        <w:rPr>
          <w:rFonts w:hint="eastAsia" w:eastAsia="仿宋_GB2312"/>
          <w:b/>
          <w:szCs w:val="28"/>
        </w:rPr>
        <w:t>日</w:t>
      </w:r>
    </w:p>
    <w:p>
      <w:pPr>
        <w:spacing w:line="300" w:lineRule="auto"/>
        <w:ind w:firstLine="482" w:firstLineChars="200"/>
        <w:jc w:val="both"/>
        <w:rPr>
          <w:rFonts w:hint="eastAsia" w:eastAsia="仿宋_GB2312"/>
          <w:b/>
          <w:szCs w:val="28"/>
        </w:rPr>
      </w:pPr>
      <w:r>
        <w:rPr>
          <w:rFonts w:hint="eastAsia" w:eastAsia="仿宋_GB2312"/>
          <w:b/>
          <w:szCs w:val="28"/>
          <w:lang w:val="en-US" w:eastAsia="zh-CN"/>
        </w:rPr>
        <w:t xml:space="preserve"> </w:t>
      </w:r>
      <w:r>
        <w:rPr>
          <w:rFonts w:hint="eastAsia" w:eastAsia="仿宋_GB2312" w:cs="Times New Roman"/>
          <w:b w:val="0"/>
          <w:bCs/>
          <w:szCs w:val="28"/>
          <w:lang w:val="en-US" w:eastAsia="zh-CN"/>
        </w:rPr>
        <w:t xml:space="preserve"> 根据以上的竞赛内容及要求，自主</w:t>
      </w:r>
      <w:r>
        <w:rPr>
          <w:rFonts w:hint="eastAsia" w:eastAsia="仿宋_GB2312"/>
          <w:b w:val="0"/>
          <w:bCs/>
          <w:szCs w:val="28"/>
          <w:lang w:val="en-US" w:eastAsia="zh-CN"/>
        </w:rPr>
        <w:t>命题，团队协助完成参赛方案，形成研究报告。</w:t>
      </w:r>
    </w:p>
    <w:p>
      <w:pPr>
        <w:spacing w:line="300" w:lineRule="auto"/>
        <w:ind w:firstLine="482" w:firstLineChars="200"/>
        <w:jc w:val="both"/>
        <w:rPr>
          <w:rFonts w:hint="eastAsia" w:eastAsia="仿宋_GB2312"/>
          <w:b/>
          <w:szCs w:val="28"/>
        </w:rPr>
      </w:pPr>
      <w:r>
        <w:rPr>
          <w:rFonts w:hint="eastAsia" w:eastAsia="仿宋_GB2312"/>
          <w:b/>
          <w:szCs w:val="28"/>
        </w:rPr>
        <w:t>（</w:t>
      </w:r>
      <w:r>
        <w:rPr>
          <w:rFonts w:hint="eastAsia" w:eastAsia="仿宋_GB2312"/>
          <w:b/>
          <w:szCs w:val="28"/>
          <w:lang w:val="en-US" w:eastAsia="zh-CN"/>
        </w:rPr>
        <w:t>三</w:t>
      </w:r>
      <w:r>
        <w:rPr>
          <w:rFonts w:hint="eastAsia" w:eastAsia="仿宋_GB2312"/>
          <w:b/>
          <w:szCs w:val="28"/>
        </w:rPr>
        <w:t>）</w:t>
      </w:r>
      <w:r>
        <w:rPr>
          <w:rFonts w:hint="eastAsia" w:eastAsia="仿宋_GB2312"/>
          <w:b/>
          <w:szCs w:val="28"/>
          <w:lang w:val="en-US" w:eastAsia="zh-CN"/>
        </w:rPr>
        <w:t>报告</w:t>
      </w:r>
      <w:r>
        <w:rPr>
          <w:rFonts w:hint="eastAsia" w:eastAsia="仿宋_GB2312"/>
          <w:b/>
          <w:szCs w:val="28"/>
          <w:lang w:val="en-US" w:eastAsia="zh-Hans"/>
        </w:rPr>
        <w:t>展示</w:t>
      </w:r>
      <w:r>
        <w:rPr>
          <w:rFonts w:hint="eastAsia" w:eastAsia="仿宋_GB2312"/>
          <w:b/>
          <w:szCs w:val="28"/>
        </w:rPr>
        <w:t>：2</w:t>
      </w:r>
      <w:r>
        <w:rPr>
          <w:rFonts w:eastAsia="仿宋_GB2312"/>
          <w:b/>
          <w:szCs w:val="28"/>
        </w:rPr>
        <w:t>022</w:t>
      </w:r>
      <w:r>
        <w:rPr>
          <w:rFonts w:hint="eastAsia" w:eastAsia="仿宋_GB2312"/>
          <w:b/>
          <w:szCs w:val="28"/>
        </w:rPr>
        <w:t>年</w:t>
      </w:r>
      <w:r>
        <w:rPr>
          <w:rFonts w:hint="default" w:eastAsia="仿宋_GB2312"/>
          <w:b/>
          <w:szCs w:val="28"/>
        </w:rPr>
        <w:t>6</w:t>
      </w:r>
      <w:r>
        <w:rPr>
          <w:rFonts w:hint="eastAsia" w:eastAsia="仿宋_GB2312"/>
          <w:b/>
          <w:szCs w:val="28"/>
        </w:rPr>
        <w:t>月</w:t>
      </w:r>
      <w:r>
        <w:rPr>
          <w:rFonts w:hint="eastAsia" w:eastAsia="仿宋_GB2312"/>
          <w:b/>
          <w:szCs w:val="28"/>
          <w:lang w:val="en-US" w:eastAsia="zh-CN"/>
        </w:rPr>
        <w:t>18</w:t>
      </w:r>
      <w:r>
        <w:rPr>
          <w:rFonts w:hint="eastAsia" w:eastAsia="仿宋_GB2312"/>
          <w:b/>
          <w:szCs w:val="28"/>
        </w:rPr>
        <w:t>日</w:t>
      </w:r>
    </w:p>
    <w:p>
      <w:pPr>
        <w:spacing w:line="300" w:lineRule="auto"/>
        <w:ind w:firstLine="480" w:firstLineChars="200"/>
        <w:jc w:val="both"/>
        <w:rPr>
          <w:rFonts w:hint="default" w:eastAsia="仿宋_GB2312" w:cs="Times New Roman"/>
          <w:szCs w:val="28"/>
          <w:lang w:eastAsia="zh-Hans"/>
        </w:rPr>
      </w:pPr>
      <w:r>
        <w:rPr>
          <w:rFonts w:hint="eastAsia" w:eastAsia="仿宋_GB2312" w:cs="Times New Roman"/>
          <w:szCs w:val="28"/>
          <w:lang w:val="en-US" w:eastAsia="zh-Hans"/>
        </w:rPr>
        <w:t>组委会组织评委评出</w:t>
      </w:r>
      <w:r>
        <w:rPr>
          <w:rFonts w:hint="eastAsia" w:eastAsia="仿宋_GB2312" w:cs="Times New Roman"/>
          <w:szCs w:val="28"/>
          <w:highlight w:val="yellow"/>
          <w:lang w:val="en-US" w:eastAsia="zh-Hans"/>
        </w:rPr>
        <w:t>前</w:t>
      </w:r>
      <w:r>
        <w:rPr>
          <w:rFonts w:hint="eastAsia" w:eastAsia="仿宋_GB2312" w:cs="Times New Roman"/>
          <w:szCs w:val="28"/>
          <w:highlight w:val="yellow"/>
          <w:lang w:val="en-US" w:eastAsia="zh-CN"/>
        </w:rPr>
        <w:t>4</w:t>
      </w:r>
      <w:r>
        <w:rPr>
          <w:rFonts w:hint="eastAsia" w:eastAsia="仿宋_GB2312" w:cs="Times New Roman"/>
          <w:szCs w:val="28"/>
          <w:highlight w:val="yellow"/>
          <w:lang w:val="en-US" w:eastAsia="zh-Hans"/>
        </w:rPr>
        <w:t>名</w:t>
      </w:r>
      <w:r>
        <w:rPr>
          <w:rFonts w:hint="eastAsia" w:eastAsia="仿宋_GB2312" w:cs="Times New Roman"/>
          <w:szCs w:val="28"/>
          <w:lang w:val="en-US" w:eastAsia="zh-Hans"/>
        </w:rPr>
        <w:t>队伍</w:t>
      </w:r>
      <w:r>
        <w:rPr>
          <w:rFonts w:hint="default" w:eastAsia="仿宋_GB2312" w:cs="Times New Roman"/>
          <w:szCs w:val="28"/>
          <w:lang w:eastAsia="zh-Hans"/>
        </w:rPr>
        <w:t>，</w:t>
      </w:r>
      <w:r>
        <w:rPr>
          <w:rFonts w:hint="eastAsia" w:eastAsia="仿宋_GB2312" w:cs="Times New Roman"/>
          <w:szCs w:val="28"/>
          <w:lang w:val="en-US" w:eastAsia="zh-Hans"/>
        </w:rPr>
        <w:t>赴青岛参加全国比赛的</w:t>
      </w:r>
      <w:r>
        <w:rPr>
          <w:rFonts w:hint="eastAsia" w:eastAsia="仿宋_GB2312" w:cs="Times New Roman"/>
          <w:szCs w:val="28"/>
          <w:lang w:val="en-US" w:eastAsia="zh-CN"/>
        </w:rPr>
        <w:t>A轮</w:t>
      </w:r>
      <w:r>
        <w:rPr>
          <w:rFonts w:hint="default" w:eastAsia="仿宋_GB2312" w:cs="Times New Roman"/>
          <w:szCs w:val="28"/>
          <w:lang w:eastAsia="zh-Hans"/>
        </w:rPr>
        <w:t>。</w:t>
      </w:r>
    </w:p>
    <w:p>
      <w:pPr>
        <w:tabs>
          <w:tab w:val="left" w:pos="1755"/>
        </w:tabs>
        <w:snapToGrid w:val="0"/>
        <w:spacing w:before="120" w:beforeLines="50" w:line="300" w:lineRule="auto"/>
        <w:ind w:right="360" w:rightChars="150" w:firstLine="562" w:firstLineChars="200"/>
        <w:outlineLvl w:val="0"/>
        <w:rPr>
          <w:rFonts w:hint="eastAsia" w:ascii="仿宋_GB2312" w:eastAsia="仿宋_GB2312"/>
          <w:b/>
          <w:bCs/>
          <w:sz w:val="28"/>
          <w:szCs w:val="28"/>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六、奖项设置及其他</w:t>
      </w:r>
    </w:p>
    <w:p>
      <w:pPr>
        <w:spacing w:line="300" w:lineRule="auto"/>
        <w:ind w:firstLine="480" w:firstLineChars="200"/>
        <w:jc w:val="both"/>
        <w:rPr>
          <w:rFonts w:hint="eastAsia" w:eastAsia="仿宋_GB2312"/>
          <w:szCs w:val="28"/>
        </w:rPr>
      </w:pPr>
      <w:r>
        <w:rPr>
          <w:color w:val="ED1C24"/>
        </w:rPr>
        <mc:AlternateContent>
          <mc:Choice Requires="wpg">
            <w:drawing>
              <wp:anchor distT="0" distB="0" distL="114300" distR="114300" simplePos="0" relativeHeight="251659264" behindDoc="1" locked="0" layoutInCell="0" allowOverlap="1">
                <wp:simplePos x="0" y="0"/>
                <wp:positionH relativeFrom="page">
                  <wp:posOffset>713740</wp:posOffset>
                </wp:positionH>
                <wp:positionV relativeFrom="page">
                  <wp:posOffset>10002520</wp:posOffset>
                </wp:positionV>
                <wp:extent cx="6136640" cy="43815"/>
                <wp:effectExtent l="0" t="3175" r="0" b="3810"/>
                <wp:wrapNone/>
                <wp:docPr id="3" name="组合 3"/>
                <wp:cNvGraphicFramePr/>
                <a:graphic xmlns:a="http://schemas.openxmlformats.org/drawingml/2006/main">
                  <a:graphicData uri="http://schemas.microsoft.com/office/word/2010/wordprocessingGroup">
                    <wpg:wgp>
                      <wpg:cNvGrpSpPr/>
                      <wpg:grpSpPr>
                        <a:xfrm>
                          <a:off x="0" y="0"/>
                          <a:ext cx="6136640" cy="43815"/>
                          <a:chOff x="1124" y="15635"/>
                          <a:chExt cx="9664" cy="69"/>
                        </a:xfrm>
                      </wpg:grpSpPr>
                      <wps:wsp>
                        <wps:cNvPr id="1" name="任意多边形 1"/>
                        <wps:cNvSpPr/>
                        <wps:spPr>
                          <a:xfrm>
                            <a:off x="1139" y="15689"/>
                            <a:ext cx="9634" cy="20"/>
                          </a:xfrm>
                          <a:custGeom>
                            <a:avLst/>
                            <a:gdLst/>
                            <a:ahLst/>
                            <a:cxnLst/>
                            <a:pathLst>
                              <a:path w="9634" h="20">
                                <a:moveTo>
                                  <a:pt x="0" y="0"/>
                                </a:moveTo>
                                <a:lnTo>
                                  <a:pt x="9633" y="0"/>
                                </a:lnTo>
                              </a:path>
                            </a:pathLst>
                          </a:custGeom>
                          <a:noFill/>
                          <a:ln w="19050" cap="flat" cmpd="sng">
                            <a:solidFill>
                              <a:srgbClr val="ED1C24"/>
                            </a:solidFill>
                            <a:prstDash val="solid"/>
                            <a:headEnd type="none" w="med" len="med"/>
                            <a:tailEnd type="none" w="med" len="med"/>
                          </a:ln>
                        </wps:spPr>
                        <wps:bodyPr upright="1"/>
                      </wps:wsp>
                      <wps:wsp>
                        <wps:cNvPr id="2" name="任意多边形 2"/>
                        <wps:cNvSpPr/>
                        <wps:spPr>
                          <a:xfrm>
                            <a:off x="1139" y="15640"/>
                            <a:ext cx="9634" cy="20"/>
                          </a:xfrm>
                          <a:custGeom>
                            <a:avLst/>
                            <a:gdLst/>
                            <a:ahLst/>
                            <a:cxnLst/>
                            <a:pathLst>
                              <a:path w="9634" h="20">
                                <a:moveTo>
                                  <a:pt x="0" y="0"/>
                                </a:moveTo>
                                <a:lnTo>
                                  <a:pt x="9633" y="0"/>
                                </a:lnTo>
                              </a:path>
                            </a:pathLst>
                          </a:custGeom>
                          <a:noFill/>
                          <a:ln w="6350" cap="flat" cmpd="sng">
                            <a:solidFill>
                              <a:srgbClr val="ED1C24"/>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56.2pt;margin-top:787.6pt;height:3.45pt;width:483.2pt;mso-position-horizontal-relative:page;mso-position-vertical-relative:page;z-index:-251657216;mso-width-relative:page;mso-height-relative:page;" coordorigin="1124,15635" coordsize="9664,69" o:allowincell="f" o:gfxdata="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BYAAABkcnMv&#10;UEsBAhQAFAAAAAgAh07iQJ8BDxbbAAAADgEAAA8AAAAAAAAAAQAgAAAAOAAAAGRycy9kb3ducmV2&#10;LnhtbFBLAQIUABQAAAAIAIdO4kBdEAEfxwIAAG0IAAAOAAAAAAAAAAEAIAAAAEABAABkcnMvZTJv&#10;RG9jLnhtbFBLBQYAAAAABgAGAFkBAAB5BgAAAAA=&#10;">
                <o:lock v:ext="edit" aspectratio="f"/>
                <v:shape id="_x0000_s1026" o:spid="_x0000_s1026" o:spt="100" style="position:absolute;left:1139;top:15689;height:20;width:9634;" filled="f" stroked="t" coordsize="9634,20" o:gfxdata="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&#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lxFebuQAAANoAAAAPAAAAAAAAAAEAIAAAADgAAABkcnMvZG93bnJldi54bWxQ&#10;SwECFAAUAAAACACHTuJAMy8FnjsAAAA5AAAAEAAAAAAAAAABACAAAAAeAQAAZHJzL3NoYXBleG1s&#10;LnhtbFBLBQYAAAAABgAGAFsBAADIAwAAAAA=&#10;" path="m0,0l9633,0e">
                  <v:fill on="f" focussize="0,0"/>
                  <v:stroke weight="1.5pt" color="#ED1C24" joinstyle="round"/>
                  <v:imagedata o:title=""/>
                  <o:lock v:ext="edit" aspectratio="f"/>
                </v:shape>
                <v:shape id="_x0000_s1026" o:spid="_x0000_s1026" o:spt="100" style="position:absolute;left:1139;top:15640;height:20;width:9634;" filled="f" stroked="t" coordsize="9634,20" o:gfxdata="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Lc9marcAAADaAAAADwAAAAAAAAABACAAAAA4AAAAZHJzL2Rvd25yZXYueG1sUEsB&#10;AhQAFAAAAAgAh07iQDMvBZ47AAAAOQAAABAAAAAAAAAAAQAgAAAAHAEAAGRycy9zaGFwZXhtbC54&#10;bWxQSwUGAAAAAAYABgBbAQAAxgMAAAAA&#10;" path="m0,0l9633,0e">
                  <v:fill on="f" focussize="0,0"/>
                  <v:stroke weight="0.5pt" color="#ED1C24" joinstyle="round"/>
                  <v:imagedata o:title=""/>
                  <o:lock v:ext="edit" aspectratio="f"/>
                </v:shape>
              </v:group>
            </w:pict>
          </mc:Fallback>
        </mc:AlternateContent>
      </w:r>
      <w:r>
        <w:rPr>
          <w:rFonts w:hint="eastAsia" w:eastAsia="仿宋_GB2312"/>
          <w:szCs w:val="28"/>
        </w:rPr>
        <w:t>本竞赛设一、二等奖</w:t>
      </w:r>
      <w:r>
        <w:rPr>
          <w:rFonts w:hint="default" w:eastAsia="仿宋_GB2312"/>
          <w:szCs w:val="28"/>
        </w:rPr>
        <w:t>6</w:t>
      </w:r>
      <w:r>
        <w:rPr>
          <w:rFonts w:hint="eastAsia" w:eastAsia="仿宋_GB2312"/>
          <w:szCs w:val="28"/>
        </w:rPr>
        <w:t>项</w:t>
      </w:r>
      <w:r>
        <w:rPr>
          <w:rFonts w:hint="eastAsia" w:eastAsia="仿宋_GB2312"/>
          <w:szCs w:val="28"/>
          <w:lang w:eastAsia="zh-CN"/>
        </w:rPr>
        <w:t>，</w:t>
      </w:r>
      <w:r>
        <w:rPr>
          <w:rFonts w:hint="eastAsia" w:eastAsia="仿宋_GB2312"/>
          <w:szCs w:val="28"/>
          <w:lang w:val="en-US" w:eastAsia="zh-CN"/>
        </w:rPr>
        <w:t>三等奖若干</w:t>
      </w:r>
      <w:r>
        <w:rPr>
          <w:rFonts w:hint="eastAsia" w:eastAsia="仿宋_GB2312"/>
          <w:szCs w:val="28"/>
        </w:rPr>
        <w:t>。</w:t>
      </w:r>
    </w:p>
    <w:p>
      <w:pPr>
        <w:spacing w:line="300" w:lineRule="auto"/>
        <w:ind w:firstLine="480" w:firstLineChars="200"/>
        <w:jc w:val="both"/>
        <w:rPr>
          <w:rFonts w:hint="eastAsia" w:eastAsia="仿宋_GB2312"/>
          <w:szCs w:val="28"/>
        </w:rPr>
      </w:pPr>
    </w:p>
    <w:p>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七、联系方式</w:t>
      </w:r>
    </w:p>
    <w:p>
      <w:pPr>
        <w:spacing w:line="300" w:lineRule="auto"/>
        <w:ind w:firstLine="480" w:firstLineChars="200"/>
        <w:jc w:val="both"/>
        <w:rPr>
          <w:rFonts w:hint="eastAsia" w:eastAsia="仿宋_GB2312"/>
          <w:szCs w:val="28"/>
          <w:lang w:eastAsia="zh-CN"/>
        </w:rPr>
      </w:pPr>
      <w:r>
        <w:rPr>
          <w:rFonts w:hint="eastAsia" w:eastAsia="仿宋_GB2312"/>
          <w:szCs w:val="28"/>
        </w:rPr>
        <w:t>负责人：</w:t>
      </w:r>
      <w:r>
        <w:rPr>
          <w:rFonts w:hint="eastAsia" w:eastAsia="仿宋_GB2312"/>
          <w:szCs w:val="28"/>
          <w:lang w:val="en-US" w:eastAsia="zh-CN"/>
        </w:rPr>
        <w:t xml:space="preserve"> </w:t>
      </w:r>
    </w:p>
    <w:p>
      <w:pPr>
        <w:spacing w:line="300" w:lineRule="auto"/>
        <w:ind w:firstLine="480" w:firstLineChars="200"/>
        <w:jc w:val="both"/>
        <w:rPr>
          <w:rFonts w:hint="default" w:eastAsia="仿宋_GB2312"/>
          <w:szCs w:val="28"/>
          <w:lang w:val="en-US" w:eastAsia="zh-CN"/>
        </w:rPr>
      </w:pPr>
      <w:r>
        <w:rPr>
          <w:rFonts w:hint="eastAsia" w:eastAsia="仿宋_GB2312"/>
          <w:szCs w:val="28"/>
        </w:rPr>
        <w:t>报名联系人：</w:t>
      </w:r>
      <w:r>
        <w:rPr>
          <w:rFonts w:hint="eastAsia" w:eastAsia="仿宋_GB2312"/>
          <w:szCs w:val="28"/>
          <w:lang w:val="en-US" w:eastAsia="zh-CN"/>
        </w:rPr>
        <w:t xml:space="preserve">    </w:t>
      </w:r>
      <w:r>
        <w:rPr>
          <w:rFonts w:hint="eastAsia" w:eastAsia="仿宋_GB2312"/>
          <w:szCs w:val="28"/>
        </w:rPr>
        <w:t xml:space="preserve">           电话：</w:t>
      </w:r>
      <w:r>
        <w:rPr>
          <w:rFonts w:hint="eastAsia" w:eastAsia="仿宋_GB2312"/>
          <w:szCs w:val="28"/>
          <w:lang w:val="en-US" w:eastAsia="zh-CN"/>
        </w:rPr>
        <w:t xml:space="preserve">   </w:t>
      </w:r>
    </w:p>
    <w:p>
      <w:pPr>
        <w:autoSpaceDE/>
        <w:autoSpaceDN/>
        <w:adjustRightInd/>
        <w:ind w:right="9720"/>
        <w:jc w:val="right"/>
        <w:rPr>
          <w:rFonts w:hint="eastAsia" w:ascii="仿宋_GB2312" w:hAnsi="Calibri" w:eastAsia="仿宋_GB2312"/>
          <w:b/>
          <w:kern w:val="2"/>
        </w:rPr>
      </w:pPr>
    </w:p>
    <w:p>
      <w:pPr>
        <w:autoSpaceDE/>
        <w:autoSpaceDN/>
        <w:adjustRightInd/>
        <w:ind w:right="680"/>
        <w:jc w:val="right"/>
        <w:outlineLvl w:val="0"/>
        <w:rPr>
          <w:rFonts w:hint="eastAsia" w:ascii="仿宋_GB2312" w:hAnsi="Calibri" w:eastAsia="仿宋_GB2312" w:cs="Times New Roman"/>
          <w:b/>
          <w:kern w:val="2"/>
        </w:rPr>
      </w:pPr>
    </w:p>
    <w:p>
      <w:pPr>
        <w:autoSpaceDE/>
        <w:autoSpaceDN/>
        <w:adjustRightInd/>
        <w:ind w:right="680"/>
        <w:jc w:val="right"/>
        <w:outlineLvl w:val="0"/>
        <w:rPr>
          <w:rFonts w:hint="default" w:ascii="仿宋_GB2312" w:hAnsi="Calibri" w:eastAsia="仿宋_GB2312" w:cs="Times New Roman"/>
          <w:b/>
          <w:kern w:val="2"/>
          <w:lang w:val="en-US" w:eastAsia="zh-CN"/>
        </w:rPr>
      </w:pPr>
      <w:r>
        <w:rPr>
          <w:rFonts w:hint="eastAsia" w:ascii="仿宋_GB2312" w:hAnsi="Calibri" w:eastAsia="仿宋_GB2312" w:cs="Times New Roman"/>
          <w:b/>
          <w:kern w:val="2"/>
        </w:rPr>
        <w:t>北京交通大学</w:t>
      </w:r>
      <w:r>
        <w:rPr>
          <w:rFonts w:hint="eastAsia" w:ascii="仿宋_GB2312" w:hAnsi="Calibri" w:eastAsia="仿宋_GB2312" w:cs="Times New Roman"/>
          <w:b/>
          <w:kern w:val="2"/>
          <w:lang w:val="en-US" w:eastAsia="zh-CN"/>
        </w:rPr>
        <w:t>经济管理学院</w:t>
      </w:r>
    </w:p>
    <w:p>
      <w:pPr>
        <w:autoSpaceDE/>
        <w:autoSpaceDN/>
        <w:adjustRightInd/>
        <w:ind w:right="680"/>
        <w:jc w:val="right"/>
        <w:outlineLvl w:val="0"/>
        <w:rPr>
          <w:rFonts w:hint="eastAsia" w:ascii="仿宋_GB2312" w:hAnsi="Calibri" w:eastAsia="仿宋_GB2312" w:cs="Times New Roman"/>
          <w:b/>
          <w:kern w:val="2"/>
          <w:lang w:val="en-US" w:eastAsia="zh-CN"/>
        </w:rPr>
      </w:pPr>
      <w:r>
        <w:rPr>
          <w:rFonts w:hint="eastAsia" w:ascii="仿宋_GB2312" w:hAnsi="Calibri" w:eastAsia="仿宋_GB2312" w:cs="Times New Roman"/>
          <w:b/>
          <w:kern w:val="2"/>
        </w:rPr>
        <w:t>202</w:t>
      </w:r>
      <w:r>
        <w:rPr>
          <w:rFonts w:hint="eastAsia" w:ascii="仿宋_GB2312" w:hAnsi="Calibri" w:eastAsia="仿宋_GB2312" w:cs="Times New Roman"/>
          <w:b/>
          <w:kern w:val="2"/>
          <w:lang w:val="en-US" w:eastAsia="zh-CN"/>
        </w:rPr>
        <w:t>5</w:t>
      </w:r>
      <w:r>
        <w:rPr>
          <w:rFonts w:hint="eastAsia" w:ascii="仿宋_GB2312" w:hAnsi="Calibri" w:eastAsia="仿宋_GB2312" w:cs="Times New Roman"/>
          <w:b/>
          <w:kern w:val="2"/>
        </w:rPr>
        <w:t>第</w:t>
      </w:r>
      <w:r>
        <w:rPr>
          <w:rFonts w:hint="eastAsia" w:ascii="仿宋_GB2312" w:hAnsi="Calibri" w:eastAsia="仿宋_GB2312" w:cs="Times New Roman"/>
          <w:b/>
          <w:kern w:val="2"/>
          <w:lang w:val="en-US" w:eastAsia="zh-CN"/>
        </w:rPr>
        <w:t>十</w:t>
      </w:r>
      <w:r>
        <w:rPr>
          <w:rFonts w:hint="eastAsia" w:ascii="仿宋_GB2312" w:hAnsi="Calibri" w:eastAsia="仿宋_GB2312" w:cs="Times New Roman"/>
          <w:b/>
          <w:kern w:val="2"/>
        </w:rPr>
        <w:t>届“日日顺创客训练营”</w:t>
      </w:r>
      <w:r>
        <w:rPr>
          <w:rFonts w:hint="eastAsia" w:ascii="仿宋_GB2312" w:hAnsi="Calibri" w:eastAsia="仿宋_GB2312" w:cs="Times New Roman"/>
          <w:b/>
          <w:kern w:val="2"/>
          <w:lang w:val="en-US" w:eastAsia="zh-CN"/>
        </w:rPr>
        <w:t>组委会</w:t>
      </w:r>
    </w:p>
    <w:p>
      <w:pPr>
        <w:wordWrap w:val="0"/>
        <w:jc w:val="right"/>
        <w:rPr>
          <w:rFonts w:hint="eastAsia" w:ascii="仿宋_GB2312" w:hAnsi="Calibri" w:eastAsia="仿宋_GB2312"/>
          <w:b/>
          <w:kern w:val="2"/>
          <w:lang w:val="en-US" w:eastAsia="zh-CN"/>
        </w:rPr>
      </w:pPr>
      <w:r>
        <w:rPr>
          <w:rFonts w:hint="eastAsia" w:ascii="仿宋_GB2312" w:hAnsi="Calibri" w:eastAsia="仿宋_GB2312" w:cs="Times New Roman"/>
          <w:b/>
          <w:kern w:val="2"/>
        </w:rPr>
        <w:t>202</w:t>
      </w:r>
      <w:r>
        <w:rPr>
          <w:rFonts w:hint="eastAsia" w:ascii="仿宋_GB2312" w:hAnsi="Calibri" w:eastAsia="仿宋_GB2312" w:cs="Times New Roman"/>
          <w:b/>
          <w:kern w:val="2"/>
          <w:lang w:val="en-US" w:eastAsia="zh-CN"/>
        </w:rPr>
        <w:t>5</w:t>
      </w:r>
      <w:r>
        <w:rPr>
          <w:rFonts w:hint="eastAsia" w:ascii="仿宋_GB2312" w:hAnsi="Calibri" w:eastAsia="仿宋_GB2312" w:cs="Times New Roman"/>
          <w:b/>
          <w:kern w:val="2"/>
        </w:rPr>
        <w:t>年</w:t>
      </w:r>
      <w:r>
        <w:rPr>
          <w:rFonts w:hint="eastAsia" w:ascii="仿宋_GB2312" w:hAnsi="Calibri" w:eastAsia="仿宋_GB2312" w:cs="Times New Roman"/>
          <w:b/>
          <w:kern w:val="2"/>
          <w:lang w:val="en-US" w:eastAsia="zh-CN"/>
        </w:rPr>
        <w:t>6</w:t>
      </w:r>
      <w:r>
        <w:rPr>
          <w:rFonts w:hint="eastAsia" w:ascii="仿宋_GB2312" w:hAnsi="Calibri" w:eastAsia="仿宋_GB2312" w:cs="Times New Roman"/>
          <w:b/>
          <w:kern w:val="2"/>
        </w:rPr>
        <w:t>月</w:t>
      </w:r>
      <w:r>
        <w:rPr>
          <w:rFonts w:hint="eastAsia" w:ascii="仿宋_GB2312" w:hAnsi="Calibri" w:eastAsia="仿宋_GB2312" w:cs="Times New Roman"/>
          <w:b/>
          <w:kern w:val="2"/>
          <w:lang w:val="en-US" w:eastAsia="zh-CN"/>
        </w:rPr>
        <w:t>6</w:t>
      </w:r>
      <w:r>
        <w:rPr>
          <w:rFonts w:hint="eastAsia" w:ascii="仿宋_GB2312" w:hAnsi="Calibri" w:eastAsia="仿宋_GB2312" w:cs="Times New Roman"/>
          <w:b/>
          <w:kern w:val="2"/>
        </w:rPr>
        <w:t>日</w:t>
      </w:r>
      <w:r>
        <w:rPr>
          <w:rFonts w:hint="eastAsia" w:ascii="仿宋_GB2312" w:hAnsi="Calibri" w:eastAsia="仿宋_GB2312"/>
          <w:b/>
          <w:kern w:val="2"/>
        </w:rPr>
        <w:t xml:space="preserve"> </w:t>
      </w:r>
      <w:r>
        <w:rPr>
          <w:rFonts w:hint="eastAsia" w:ascii="仿宋_GB2312" w:hAnsi="Calibri" w:eastAsia="仿宋_GB2312"/>
          <w:b/>
          <w:kern w:val="2"/>
          <w:lang w:val="en-US" w:eastAsia="zh-CN"/>
        </w:rPr>
        <w:t xml:space="preserve">         </w:t>
      </w:r>
    </w:p>
    <w:p>
      <w:pPr>
        <w:rPr>
          <w:rFonts w:hint="eastAsia" w:ascii="仿宋_GB2312" w:hAnsi="Calibri" w:eastAsia="仿宋_GB2312"/>
          <w:b/>
          <w:kern w:val="2"/>
          <w:lang w:val="en-US" w:eastAsia="zh-CN"/>
        </w:rPr>
      </w:pPr>
      <w:r>
        <w:rPr>
          <w:rFonts w:hint="eastAsia" w:ascii="仿宋_GB2312" w:hAnsi="Calibri" w:eastAsia="仿宋_GB2312"/>
          <w:b/>
          <w:kern w:val="2"/>
          <w:lang w:val="en-US" w:eastAsia="zh-CN"/>
        </w:rPr>
        <w:br w:type="page"/>
      </w:r>
    </w:p>
    <w:p>
      <w:pPr>
        <w:wordWrap w:val="0"/>
        <w:jc w:val="right"/>
      </w:pPr>
    </w:p>
    <w:p>
      <w:pPr>
        <w:autoSpaceDE/>
        <w:autoSpaceDN/>
        <w:adjustRightInd/>
        <w:ind w:right="680"/>
        <w:jc w:val="both"/>
        <w:outlineLvl w:val="0"/>
        <w:rPr>
          <w:rFonts w:hint="default" w:ascii="仿宋_GB2312" w:hAnsi="Calibri" w:eastAsia="仿宋_GB2312"/>
          <w:b/>
          <w:bCs w:val="0"/>
          <w:kern w:val="2"/>
          <w:sz w:val="36"/>
          <w:szCs w:val="36"/>
          <w:lang w:val="en-US" w:eastAsia="zh-CN"/>
        </w:rPr>
      </w:pPr>
      <w:r>
        <w:rPr>
          <w:rFonts w:hint="eastAsia" w:ascii="仿宋_GB2312" w:hAnsi="Calibri" w:eastAsia="仿宋_GB2312"/>
          <w:b/>
          <w:bCs w:val="0"/>
          <w:kern w:val="2"/>
          <w:sz w:val="36"/>
          <w:szCs w:val="36"/>
          <w:lang w:val="en-US" w:eastAsia="zh-CN"/>
        </w:rPr>
        <w:t>附录1：选题参考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0" w:beforeAutospacing="0" w:after="140" w:afterAutospacing="0" w:line="580" w:lineRule="atLeast"/>
        <w:ind w:left="0" w:right="0" w:firstLine="0"/>
        <w:jc w:val="left"/>
        <w:rPr>
          <w:rFonts w:hint="eastAsia" w:ascii="仿宋" w:hAnsi="仿宋" w:eastAsia="仿宋" w:cs="仿宋"/>
          <w:i w:val="0"/>
          <w:iCs w:val="0"/>
          <w:caps w:val="0"/>
          <w:color w:val="333333"/>
          <w:spacing w:val="0"/>
          <w:sz w:val="32"/>
          <w:szCs w:val="32"/>
        </w:rPr>
      </w:pPr>
      <w:r>
        <w:rPr>
          <w:rStyle w:val="7"/>
          <w:rFonts w:hint="eastAsia" w:ascii="仿宋" w:hAnsi="仿宋" w:eastAsia="仿宋" w:cs="仿宋"/>
          <w:b/>
          <w:bCs/>
          <w:i w:val="0"/>
          <w:iCs w:val="0"/>
          <w:caps w:val="0"/>
          <w:color w:val="333333"/>
          <w:spacing w:val="0"/>
          <w:sz w:val="32"/>
          <w:szCs w:val="32"/>
          <w:shd w:val="clear" w:fill="FFFFFF"/>
          <w:lang w:val="en-US" w:eastAsia="zh-CN"/>
        </w:rPr>
        <w:t>选题类型一：</w:t>
      </w:r>
      <w:r>
        <w:rPr>
          <w:rStyle w:val="7"/>
          <w:rFonts w:hint="eastAsia" w:ascii="仿宋" w:hAnsi="仿宋" w:eastAsia="仿宋" w:cs="仿宋"/>
          <w:b/>
          <w:bCs/>
          <w:i w:val="0"/>
          <w:iCs w:val="0"/>
          <w:caps w:val="0"/>
          <w:color w:val="333333"/>
          <w:spacing w:val="0"/>
          <w:sz w:val="32"/>
          <w:szCs w:val="32"/>
          <w:shd w:val="clear" w:fill="FFFFFF"/>
        </w:rPr>
        <w:t>‌数</w:t>
      </w:r>
      <w:r>
        <w:rPr>
          <w:rStyle w:val="7"/>
          <w:rFonts w:hint="eastAsia" w:ascii="仿宋" w:hAnsi="仿宋" w:eastAsia="仿宋" w:cs="仿宋"/>
          <w:b/>
          <w:bCs/>
          <w:i w:val="0"/>
          <w:iCs w:val="0"/>
          <w:caps w:val="0"/>
          <w:color w:val="333333"/>
          <w:spacing w:val="0"/>
          <w:sz w:val="32"/>
          <w:szCs w:val="32"/>
          <w:bdr w:val="none" w:color="auto" w:sz="0" w:space="0"/>
          <w:shd w:val="clear" w:fill="FFFFFF"/>
        </w:rPr>
        <w:t>字化及AI应用创新</w:t>
      </w:r>
      <w:r>
        <w:rPr>
          <w:rFonts w:hint="eastAsia" w:ascii="仿宋" w:hAnsi="仿宋" w:eastAsia="仿宋" w:cs="仿宋"/>
          <w:i w:val="0"/>
          <w:iCs w:val="0"/>
          <w:caps w:val="0"/>
          <w:color w:val="333333"/>
          <w:spacing w:val="0"/>
          <w:sz w:val="32"/>
          <w:szCs w:val="32"/>
          <w:bdr w:val="none" w:color="auto" w:sz="0" w:space="0"/>
          <w:shd w:val="clear" w:fill="FFFFFF"/>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基于大模型的智能运维</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‌全流程全要素的数字化管理解决方案‌</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大模型在物流其他领域的创新应用</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机器视觉AI智能分析</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AI+智慧园区及仓运营管理</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AI+配送全流程管理升级</w:t>
      </w:r>
      <w:r>
        <w:rPr>
          <w:rFonts w:hint="eastAsia" w:ascii="仿宋" w:hAnsi="仿宋" w:eastAsia="仿宋" w:cs="仿宋"/>
          <w:i w:val="0"/>
          <w:iCs w:val="0"/>
          <w:caps w:val="0"/>
          <w:color w:val="333333"/>
          <w:spacing w:val="0"/>
          <w:sz w:val="24"/>
          <w:szCs w:val="24"/>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0" w:beforeAutospacing="0" w:after="140" w:afterAutospacing="0" w:line="580" w:lineRule="atLeast"/>
        <w:ind w:left="0" w:right="0" w:firstLine="0"/>
        <w:jc w:val="left"/>
        <w:rPr>
          <w:rFonts w:hint="eastAsia" w:ascii="仿宋" w:hAnsi="仿宋" w:eastAsia="仿宋" w:cs="仿宋"/>
          <w:i w:val="0"/>
          <w:iCs w:val="0"/>
          <w:caps w:val="0"/>
          <w:color w:val="333333"/>
          <w:spacing w:val="0"/>
          <w:sz w:val="32"/>
          <w:szCs w:val="32"/>
        </w:rPr>
      </w:pPr>
      <w:r>
        <w:rPr>
          <w:rStyle w:val="7"/>
          <w:rFonts w:hint="eastAsia" w:ascii="仿宋" w:hAnsi="仿宋" w:eastAsia="仿宋" w:cs="仿宋"/>
          <w:b/>
          <w:bCs/>
          <w:i w:val="0"/>
          <w:iCs w:val="0"/>
          <w:caps w:val="0"/>
          <w:color w:val="333333"/>
          <w:spacing w:val="0"/>
          <w:sz w:val="32"/>
          <w:szCs w:val="32"/>
          <w:shd w:val="clear" w:fill="FFFFFF"/>
          <w:lang w:val="en-US" w:eastAsia="zh-CN"/>
        </w:rPr>
        <w:t>选题类型二：‌供应链管理及模式创新</w:t>
      </w:r>
      <w:r>
        <w:rPr>
          <w:rFonts w:hint="eastAsia" w:ascii="仿宋" w:hAnsi="仿宋" w:eastAsia="仿宋" w:cs="仿宋"/>
          <w:i w:val="0"/>
          <w:iCs w:val="0"/>
          <w:caps w:val="0"/>
          <w:color w:val="333333"/>
          <w:spacing w:val="0"/>
          <w:sz w:val="32"/>
          <w:szCs w:val="32"/>
          <w:bdr w:val="none" w:color="auto" w:sz="0" w:space="0"/>
          <w:shd w:val="clear" w:fill="FFFFFF"/>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围绕日日顺服务的行业（家电、家居、汽车等）优化</w:t>
      </w:r>
      <w:r>
        <w:rPr>
          <w:rFonts w:hint="eastAsia" w:ascii="仿宋" w:hAnsi="仿宋" w:eastAsia="仿宋" w:cs="仿宋"/>
          <w:i w:val="0"/>
          <w:iCs w:val="0"/>
          <w:caps w:val="0"/>
          <w:color w:val="333333"/>
          <w:spacing w:val="0"/>
          <w:sz w:val="24"/>
          <w:szCs w:val="24"/>
          <w:shd w:val="clear" w:fill="FFFFFF"/>
          <w:lang w:val="en-US" w:eastAsia="zh-CN"/>
        </w:rPr>
        <w:t>现有的“方案产品”</w:t>
      </w:r>
      <w:r>
        <w:rPr>
          <w:rFonts w:hint="eastAsia" w:ascii="仿宋" w:hAnsi="仿宋" w:eastAsia="仿宋" w:cs="仿宋"/>
          <w:i w:val="0"/>
          <w:iCs w:val="0"/>
          <w:caps w:val="0"/>
          <w:color w:val="333333"/>
          <w:spacing w:val="0"/>
          <w:sz w:val="24"/>
          <w:szCs w:val="24"/>
          <w:shd w:val="clear" w:fill="FFFFFF"/>
        </w:rPr>
        <w:t>或创新方案产品</w:t>
      </w:r>
      <w:r>
        <w:rPr>
          <w:rFonts w:hint="eastAsia" w:ascii="仿宋" w:hAnsi="仿宋" w:eastAsia="仿宋" w:cs="仿宋"/>
          <w:i w:val="0"/>
          <w:iCs w:val="0"/>
          <w:caps w:val="0"/>
          <w:color w:val="333333"/>
          <w:spacing w:val="0"/>
          <w:sz w:val="24"/>
          <w:szCs w:val="24"/>
          <w:shd w:val="clear" w:fill="FFFFFF"/>
          <w:lang w:val="en-US" w:eastAsia="zh-CN"/>
        </w:rPr>
        <w:t>的打造（</w:t>
      </w:r>
      <w:r>
        <w:rPr>
          <w:rFonts w:hint="eastAsia" w:ascii="仿宋" w:hAnsi="仿宋" w:eastAsia="仿宋" w:cs="仿宋"/>
          <w:i w:val="0"/>
          <w:iCs w:val="0"/>
          <w:caps w:val="0"/>
          <w:color w:val="333333"/>
          <w:spacing w:val="0"/>
          <w:sz w:val="24"/>
          <w:szCs w:val="24"/>
          <w:shd w:val="clear" w:fill="FFFFFF"/>
        </w:rPr>
        <w:t>如数字库存、统仓统配、一仓发全国</w:t>
      </w:r>
      <w:r>
        <w:rPr>
          <w:rFonts w:hint="eastAsia" w:ascii="仿宋" w:hAnsi="仿宋" w:eastAsia="仿宋" w:cs="仿宋"/>
          <w:i w:val="0"/>
          <w:iCs w:val="0"/>
          <w:caps w:val="0"/>
          <w:color w:val="333333"/>
          <w:spacing w:val="0"/>
          <w:sz w:val="24"/>
          <w:szCs w:val="24"/>
          <w:shd w:val="clear" w:fill="FFFFFF"/>
          <w:lang w:eastAsia="zh-CN"/>
        </w:rPr>
        <w:t>、</w:t>
      </w:r>
      <w:r>
        <w:rPr>
          <w:rFonts w:hint="eastAsia" w:ascii="仿宋" w:hAnsi="仿宋" w:eastAsia="仿宋" w:cs="仿宋"/>
          <w:i w:val="0"/>
          <w:iCs w:val="0"/>
          <w:caps w:val="0"/>
          <w:color w:val="333333"/>
          <w:spacing w:val="0"/>
          <w:sz w:val="24"/>
          <w:szCs w:val="24"/>
          <w:shd w:val="clear" w:fill="FFFFFF"/>
          <w:lang w:val="en-US" w:eastAsia="zh-CN"/>
        </w:rPr>
        <w:t>多式联运、五定班列</w:t>
      </w:r>
      <w:r>
        <w:rPr>
          <w:rFonts w:hint="eastAsia" w:ascii="仿宋" w:hAnsi="仿宋" w:eastAsia="仿宋" w:cs="仿宋"/>
          <w:i w:val="0"/>
          <w:iCs w:val="0"/>
          <w:caps w:val="0"/>
          <w:color w:val="333333"/>
          <w:spacing w:val="0"/>
          <w:sz w:val="24"/>
          <w:szCs w:val="24"/>
          <w:shd w:val="clear" w:fill="FFFFFF"/>
        </w:rPr>
        <w:t>等</w:t>
      </w:r>
      <w:r>
        <w:rPr>
          <w:rFonts w:hint="eastAsia" w:ascii="仿宋" w:hAnsi="仿宋" w:eastAsia="仿宋" w:cs="仿宋"/>
          <w:i w:val="0"/>
          <w:iCs w:val="0"/>
          <w:caps w:val="0"/>
          <w:color w:val="333333"/>
          <w:spacing w:val="0"/>
          <w:sz w:val="24"/>
          <w:szCs w:val="24"/>
          <w:shd w:val="clear" w:fill="FFFFFF"/>
          <w:lang w:eastAsia="zh-CN"/>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‌全网供应链网络优化方案</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24"/>
          <w:szCs w:val="24"/>
          <w:shd w:val="clear" w:fill="FFFFFF"/>
        </w:rPr>
        <w:t>‌全链路降本提效方案</w:t>
      </w:r>
      <w:r>
        <w:rPr>
          <w:rFonts w:hint="eastAsia" w:ascii="仿宋" w:hAnsi="仿宋" w:eastAsia="仿宋" w:cs="仿宋"/>
          <w:i w:val="0"/>
          <w:iCs w:val="0"/>
          <w:caps w:val="0"/>
          <w:color w:val="333333"/>
          <w:spacing w:val="0"/>
          <w:sz w:val="32"/>
          <w:szCs w:val="32"/>
          <w:shd w:val="clear" w:fill="FFFFFF"/>
        </w:rPr>
        <w:t>‌</w:t>
      </w:r>
    </w:p>
    <w:p>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leftChars="0" w:right="0" w:rightChars="0" w:firstLine="0" w:firstLineChars="0"/>
        <w:jc w:val="left"/>
        <w:rPr>
          <w:rFonts w:hint="eastAsia" w:ascii="仿宋" w:hAnsi="仿宋" w:eastAsia="仿宋" w:cs="仿宋"/>
          <w:i w:val="0"/>
          <w:iCs w:val="0"/>
          <w:caps w:val="0"/>
          <w:color w:val="333333"/>
          <w:spacing w:val="0"/>
          <w:sz w:val="32"/>
          <w:szCs w:val="32"/>
        </w:rPr>
      </w:pPr>
      <w:r>
        <w:rPr>
          <w:rStyle w:val="7"/>
          <w:rFonts w:hint="eastAsia" w:ascii="仿宋" w:hAnsi="仿宋" w:eastAsia="仿宋" w:cs="仿宋"/>
          <w:b/>
          <w:bCs/>
          <w:i w:val="0"/>
          <w:iCs w:val="0"/>
          <w:caps w:val="0"/>
          <w:color w:val="333333"/>
          <w:spacing w:val="0"/>
          <w:sz w:val="32"/>
          <w:szCs w:val="32"/>
          <w:shd w:val="clear" w:fill="FFFFFF"/>
          <w:lang w:val="en-US" w:eastAsia="zh-CN"/>
        </w:rPr>
        <w:t>选题类型</w:t>
      </w:r>
      <w:r>
        <w:rPr>
          <w:rStyle w:val="7"/>
          <w:rFonts w:hint="eastAsia" w:ascii="仿宋" w:hAnsi="仿宋" w:eastAsia="仿宋" w:cs="仿宋"/>
          <w:bCs/>
          <w:i w:val="0"/>
          <w:iCs w:val="0"/>
          <w:caps w:val="0"/>
          <w:color w:val="333333"/>
          <w:spacing w:val="0"/>
          <w:sz w:val="32"/>
          <w:szCs w:val="32"/>
          <w:shd w:val="clear" w:fill="FFFFFF"/>
          <w:lang w:val="en-US" w:eastAsia="zh-CN" w:bidi="ar-SA"/>
        </w:rPr>
        <w:t>三：‌基础运营算法</w:t>
      </w:r>
      <w:r>
        <w:rPr>
          <w:rFonts w:hint="eastAsia" w:ascii="仿宋" w:hAnsi="仿宋" w:eastAsia="仿宋" w:cs="仿宋"/>
          <w:i w:val="0"/>
          <w:iCs w:val="0"/>
          <w:caps w:val="0"/>
          <w:color w:val="333333"/>
          <w:spacing w:val="0"/>
          <w:sz w:val="32"/>
          <w:szCs w:val="32"/>
          <w:bdr w:val="none" w:color="auto" w:sz="0" w:space="0"/>
          <w:shd w:val="clear" w:fill="FFFFFF"/>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智慧路由算法、园区智能算法</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仓内精益运营算法、配送配载排程算法</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数智化仓/配协同</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货量预约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rPr>
      </w:pPr>
      <w:r>
        <w:rPr>
          <w:rFonts w:hint="eastAsia" w:ascii="仿宋" w:hAnsi="仿宋" w:eastAsia="仿宋" w:cs="仿宋"/>
          <w:i w:val="0"/>
          <w:iCs w:val="0"/>
          <w:caps w:val="0"/>
          <w:color w:val="333333"/>
          <w:spacing w:val="0"/>
          <w:sz w:val="24"/>
          <w:szCs w:val="24"/>
          <w:shd w:val="clear" w:fill="FFFFFF"/>
        </w:rPr>
        <w:t>‌装箱模型（海外）</w:t>
      </w:r>
      <w:r>
        <w:rPr>
          <w:rFonts w:hint="eastAsia" w:ascii="仿宋" w:hAnsi="仿宋" w:eastAsia="仿宋" w:cs="仿宋"/>
          <w:i w:val="0"/>
          <w:iCs w:val="0"/>
          <w:caps w:val="0"/>
          <w:color w:val="333333"/>
          <w:spacing w:val="0"/>
          <w:sz w:val="32"/>
          <w:szCs w:val="32"/>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0" w:beforeAutospacing="0" w:after="140" w:afterAutospacing="0" w:line="580" w:lineRule="atLeast"/>
        <w:ind w:left="0" w:right="0" w:firstLine="0"/>
        <w:jc w:val="left"/>
        <w:rPr>
          <w:rFonts w:hint="eastAsia" w:ascii="仿宋" w:hAnsi="仿宋" w:eastAsia="仿宋" w:cs="仿宋"/>
          <w:i w:val="0"/>
          <w:iCs w:val="0"/>
          <w:caps w:val="0"/>
          <w:color w:val="333333"/>
          <w:spacing w:val="0"/>
          <w:sz w:val="32"/>
          <w:szCs w:val="32"/>
        </w:rPr>
      </w:pPr>
      <w:r>
        <w:rPr>
          <w:rStyle w:val="7"/>
          <w:rFonts w:hint="eastAsia" w:ascii="仿宋" w:hAnsi="仿宋" w:eastAsia="仿宋" w:cs="仿宋"/>
          <w:b/>
          <w:bCs/>
          <w:i w:val="0"/>
          <w:iCs w:val="0"/>
          <w:caps w:val="0"/>
          <w:color w:val="333333"/>
          <w:spacing w:val="0"/>
          <w:sz w:val="32"/>
          <w:szCs w:val="32"/>
          <w:shd w:val="clear" w:fill="FFFFFF"/>
          <w:lang w:val="en-US" w:eastAsia="zh-CN"/>
        </w:rPr>
        <w:t>选题类型四：‌智能设备设施应用创新</w:t>
      </w:r>
      <w:r>
        <w:rPr>
          <w:rFonts w:hint="eastAsia" w:ascii="仿宋" w:hAnsi="仿宋" w:eastAsia="仿宋" w:cs="仿宋"/>
          <w:i w:val="0"/>
          <w:iCs w:val="0"/>
          <w:caps w:val="0"/>
          <w:color w:val="333333"/>
          <w:spacing w:val="0"/>
          <w:sz w:val="32"/>
          <w:szCs w:val="32"/>
          <w:bdr w:val="none" w:color="auto" w:sz="0" w:space="0"/>
          <w:shd w:val="clear" w:fill="FFFFFF"/>
        </w:rPr>
        <w:t>‌</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120" w:beforeAutospacing="0" w:after="120" w:afterAutospacing="0" w:line="560" w:lineRule="atLeast"/>
        <w:ind w:left="0" w:right="0" w:hanging="360"/>
        <w:jc w:val="left"/>
        <w:rPr>
          <w:rFonts w:hint="eastAsia" w:ascii="仿宋" w:hAnsi="仿宋" w:eastAsia="仿宋" w:cs="仿宋"/>
        </w:rPr>
      </w:pPr>
      <w:r>
        <w:rPr>
          <w:rFonts w:hint="eastAsia" w:ascii="仿宋" w:hAnsi="仿宋" w:eastAsia="仿宋" w:cs="仿宋"/>
          <w:i w:val="0"/>
          <w:iCs w:val="0"/>
          <w:caps w:val="0"/>
          <w:color w:val="333333"/>
          <w:spacing w:val="0"/>
          <w:sz w:val="24"/>
          <w:szCs w:val="24"/>
          <w:bdr w:val="none" w:color="auto" w:sz="0" w:space="0"/>
          <w:shd w:val="clear" w:fill="FFFFFF"/>
        </w:rPr>
        <w:t>仓、配、最后一公里及用户端的</w:t>
      </w:r>
      <w:r>
        <w:rPr>
          <w:rFonts w:hint="eastAsia" w:ascii="仿宋" w:hAnsi="仿宋" w:eastAsia="仿宋" w:cs="仿宋"/>
          <w:i w:val="0"/>
          <w:iCs w:val="0"/>
          <w:caps w:val="0"/>
          <w:color w:val="333333"/>
          <w:spacing w:val="0"/>
          <w:sz w:val="24"/>
          <w:szCs w:val="24"/>
          <w:bdr w:val="none" w:color="auto" w:sz="0" w:space="0"/>
          <w:shd w:val="clear" w:fill="FFFFFF"/>
          <w:lang w:val="en-US" w:eastAsia="zh-CN"/>
        </w:rPr>
        <w:t>各类应用和服务场景的先进</w:t>
      </w:r>
      <w:r>
        <w:rPr>
          <w:rFonts w:hint="eastAsia" w:ascii="仿宋" w:hAnsi="仿宋" w:eastAsia="仿宋" w:cs="仿宋"/>
          <w:i w:val="0"/>
          <w:iCs w:val="0"/>
          <w:caps w:val="0"/>
          <w:color w:val="333333"/>
          <w:spacing w:val="0"/>
          <w:sz w:val="24"/>
          <w:szCs w:val="24"/>
          <w:bdr w:val="none" w:color="auto" w:sz="0" w:space="0"/>
          <w:shd w:val="clear" w:fill="FFFFFF"/>
        </w:rPr>
        <w:t>设备设施</w:t>
      </w:r>
      <w:r>
        <w:rPr>
          <w:rFonts w:hint="eastAsia" w:ascii="仿宋" w:hAnsi="仿宋" w:eastAsia="仿宋" w:cs="仿宋"/>
          <w:i w:val="0"/>
          <w:iCs w:val="0"/>
          <w:caps w:val="0"/>
          <w:color w:val="333333"/>
          <w:spacing w:val="0"/>
          <w:sz w:val="24"/>
          <w:szCs w:val="24"/>
          <w:bdr w:val="none" w:color="auto" w:sz="0" w:space="0"/>
          <w:shd w:val="clear" w:fill="FFFFFF"/>
          <w:lang w:val="en-US" w:eastAsia="zh-CN"/>
        </w:rPr>
        <w:t>应用</w:t>
      </w:r>
      <w:r>
        <w:rPr>
          <w:rFonts w:hint="eastAsia" w:ascii="仿宋" w:hAnsi="仿宋" w:eastAsia="仿宋" w:cs="仿宋"/>
          <w:i w:val="0"/>
          <w:iCs w:val="0"/>
          <w:caps w:val="0"/>
          <w:color w:val="333333"/>
          <w:spacing w:val="0"/>
          <w:sz w:val="24"/>
          <w:szCs w:val="24"/>
          <w:bdr w:val="none" w:color="auto" w:sz="0" w:space="0"/>
          <w:shd w:val="clear" w:fill="FFFFFF"/>
        </w:rPr>
        <w:t>创新</w:t>
      </w:r>
      <w:r>
        <w:rPr>
          <w:rFonts w:hint="eastAsia" w:ascii="仿宋" w:hAnsi="仿宋" w:eastAsia="仿宋" w:cs="仿宋"/>
          <w:i w:val="0"/>
          <w:iCs w:val="0"/>
          <w:caps w:val="0"/>
          <w:color w:val="333333"/>
          <w:spacing w:val="0"/>
          <w:sz w:val="24"/>
          <w:szCs w:val="24"/>
          <w:bdr w:val="none" w:color="auto" w:sz="0" w:space="0"/>
          <w:shd w:val="clear" w:fill="FFFFFF"/>
          <w:lang w:eastAsia="zh-CN"/>
        </w:rPr>
        <w:t>（</w:t>
      </w:r>
      <w:r>
        <w:rPr>
          <w:rFonts w:hint="eastAsia" w:ascii="仿宋" w:hAnsi="仿宋" w:eastAsia="仿宋" w:cs="仿宋"/>
          <w:i w:val="0"/>
          <w:iCs w:val="0"/>
          <w:caps w:val="0"/>
          <w:color w:val="333333"/>
          <w:spacing w:val="0"/>
          <w:sz w:val="24"/>
          <w:szCs w:val="24"/>
          <w:bdr w:val="none" w:color="auto" w:sz="0" w:space="0"/>
          <w:shd w:val="clear" w:fill="FFFFFF"/>
        </w:rPr>
        <w:t>如仓内具身机器人、无人车</w:t>
      </w:r>
      <w:r>
        <w:rPr>
          <w:rFonts w:hint="eastAsia" w:ascii="仿宋" w:hAnsi="仿宋" w:eastAsia="仿宋" w:cs="仿宋"/>
          <w:i w:val="0"/>
          <w:iCs w:val="0"/>
          <w:caps w:val="0"/>
          <w:color w:val="333333"/>
          <w:spacing w:val="0"/>
          <w:sz w:val="24"/>
          <w:szCs w:val="24"/>
          <w:bdr w:val="none" w:color="auto" w:sz="0" w:space="0"/>
          <w:shd w:val="clear" w:fill="FFFFFF"/>
          <w:lang w:val="en-US" w:eastAsia="zh-CN"/>
        </w:rPr>
        <w:t>及其他无人设</w:t>
      </w:r>
      <w:r>
        <w:rPr>
          <w:rFonts w:hint="eastAsia" w:ascii="仿宋" w:hAnsi="仿宋" w:eastAsia="仿宋" w:cs="仿宋"/>
          <w:i w:val="0"/>
          <w:iCs w:val="0"/>
          <w:caps w:val="0"/>
          <w:color w:val="333333"/>
          <w:spacing w:val="0"/>
          <w:sz w:val="24"/>
          <w:szCs w:val="24"/>
          <w:shd w:val="clear" w:fill="FFFFFF"/>
          <w:lang w:val="en-US" w:eastAsia="zh-CN"/>
        </w:rPr>
        <w:t>备）或‌利用AI辅助智能设备设施创新、体验提升、降本增效……</w:t>
      </w:r>
      <w:r>
        <w:rPr>
          <w:rFonts w:hint="eastAsia" w:ascii="仿宋" w:hAnsi="仿宋" w:eastAsia="仿宋" w:cs="仿宋"/>
          <w:i w:val="0"/>
          <w:iCs w:val="0"/>
          <w:caps w:val="0"/>
          <w:color w:val="333333"/>
          <w:spacing w:val="0"/>
          <w:sz w:val="32"/>
          <w:szCs w:val="32"/>
          <w:bdr w:val="none" w:color="auto" w:sz="0" w:space="0"/>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0" w:beforeAutospacing="0" w:after="140" w:afterAutospacing="0" w:line="580" w:lineRule="atLeast"/>
        <w:ind w:left="0" w:right="0" w:firstLine="0"/>
        <w:jc w:val="left"/>
        <w:rPr>
          <w:rStyle w:val="7"/>
          <w:rFonts w:hint="eastAsia" w:ascii="PingFang SC" w:hAnsi="PingFang SC" w:eastAsia="PingFang SC" w:cs="PingFang SC"/>
          <w:b/>
          <w:bCs/>
          <w:i w:val="0"/>
          <w:iCs w:val="0"/>
          <w:caps w:val="0"/>
          <w:color w:val="333333"/>
          <w:spacing w:val="0"/>
          <w:sz w:val="32"/>
          <w:szCs w:val="32"/>
          <w:shd w:val="clear" w:fill="FFFFFF"/>
          <w:lang w:val="en-US" w:eastAsia="zh-CN"/>
        </w:rPr>
      </w:pPr>
      <w:r>
        <w:rPr>
          <w:rStyle w:val="7"/>
          <w:rFonts w:hint="eastAsia" w:ascii="仿宋" w:hAnsi="仿宋" w:eastAsia="仿宋" w:cs="仿宋"/>
          <w:b/>
          <w:bCs/>
          <w:i w:val="0"/>
          <w:iCs w:val="0"/>
          <w:caps w:val="0"/>
          <w:color w:val="333333"/>
          <w:spacing w:val="0"/>
          <w:sz w:val="32"/>
          <w:szCs w:val="32"/>
          <w:shd w:val="clear" w:fill="FFFFFF"/>
          <w:lang w:val="en-US" w:eastAsia="zh-CN"/>
        </w:rPr>
        <w:t>选题类型五：‌其他开放创新类</w:t>
      </w:r>
    </w:p>
    <w:p>
      <w:pPr>
        <w:rPr>
          <w:rFonts w:hint="default"/>
          <w:lang w:val="en-US" w:eastAsia="zh-CN"/>
        </w:rPr>
      </w:pPr>
      <w:r>
        <w:rPr>
          <w:rFonts w:hint="default"/>
          <w:lang w:val="en-US" w:eastAsia="zh-CN"/>
        </w:rPr>
        <w:br w:type="page"/>
      </w:r>
    </w:p>
    <w:p>
      <w:pPr>
        <w:autoSpaceDE/>
        <w:autoSpaceDN/>
        <w:adjustRightInd/>
        <w:ind w:right="680"/>
        <w:jc w:val="both"/>
        <w:outlineLvl w:val="0"/>
        <w:rPr>
          <w:rFonts w:hint="eastAsia" w:ascii="仿宋_GB2312" w:hAnsi="Calibri" w:eastAsia="仿宋_GB2312"/>
          <w:b/>
          <w:bCs w:val="0"/>
          <w:kern w:val="2"/>
          <w:sz w:val="36"/>
          <w:szCs w:val="36"/>
          <w:lang w:val="en-US" w:eastAsia="zh-CN"/>
        </w:rPr>
      </w:pPr>
      <w:r>
        <w:rPr>
          <w:rFonts w:hint="eastAsia" w:ascii="仿宋_GB2312" w:hAnsi="Calibri" w:eastAsia="仿宋_GB2312"/>
          <w:b/>
          <w:bCs w:val="0"/>
          <w:kern w:val="2"/>
          <w:sz w:val="36"/>
          <w:szCs w:val="36"/>
          <w:lang w:val="en-US" w:eastAsia="zh-CN"/>
        </w:rPr>
        <w:t>附录2：日日顺供应链资料</w:t>
      </w:r>
    </w:p>
    <w:p>
      <w:pPr>
        <w:autoSpaceDE/>
        <w:autoSpaceDN/>
        <w:adjustRightInd/>
        <w:ind w:right="680"/>
        <w:jc w:val="both"/>
        <w:outlineLvl w:val="0"/>
        <w:rPr>
          <w:rFonts w:hint="eastAsia" w:ascii="仿宋_GB2312" w:hAnsi="Calibri" w:eastAsia="仿宋_GB2312"/>
          <w:b/>
          <w:kern w:val="2"/>
          <w:lang w:val="en-US" w:eastAsia="zh-CN"/>
        </w:rPr>
      </w:pP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2024年9月，世界品牌实验室（WBL）发布亚洲品牌500强榜单，日日顺供应链连续四年入选，成为首个且唯一入选的供应链场景生态品牌。同期，睿富全球排行榜资讯集团与北京名牌资产评估有限公司也共同发布了2024(第30届)中国品牌价值100强研究报告，日日顺供应链以559.59亿元的品牌价值连续12年入选，位列17位。</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2019年至2024年，日日顺供应链连续六年蝉联胡润全球独角兽榜单（Hurun Global Unicorn List），成为唯一入选物联网供应链场景生态品牌独角兽企业。</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2024年9月，日日顺供应链凭借“推动数智化供应链与实体经济深度融合”相关案例入选由商务部联合中国物流与采购联合会共同评选出的《2024全国供应链创新与应用典型案例》名单。</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2023年1月，商务部发布《国家级服务业标准化试点（商贸流通专项）第一批典型经验做法的通知》，在“标准化支撑商贸物流高效运行”方面，日日顺供应链凭借“打造标准化智慧供应链，实现管理和服务双提升”的国家级发展经验作为典型入选。</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2022年11月，日日顺供应链入选商务部等8单位公布的“2022年全国供应链创新与应用示范企业”名单。</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2022年9月，由日日顺供应链主导制定的国际标准IEEE 2934-2022《智能工厂物流作业流程规范》（IEEE Standard for Logistics Operation Process in a Smart Factory）正式发布。</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2021年11月，日日顺供应链获得由中国物流与采购联合会颁发的“AAAAA级供应链服务企业”。</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2019年，“日日顺”商标被国家知识产权局商标局认定为中国驰名商标。</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经过多年发展，日日顺供应链依托数字化的运营管理能力连接仓储资源、运力资源以及服务网点等物流基础设施及服务资源，搭建了覆盖全国、送装同步、到村入户的稀缺物流服务网络。</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在此基础上，日日顺供应链形成了从采购、工厂制造到终端消费者的全流程、多场景的供应链管理解决方案能力，可根据众多企业客户在采购、生产制造、消费流通、用户服务等环节对于供应链管理及物流服务的需求，通过对供应链方案设计及配套信息系统服务、方案迭代优化、订单管理、报关商检、运力服务、仓储网络布局、仓储管理服务、末端用户配送及安装、逆向物流等多项服务进行整合，为客户提供一体化的供应链解决方案，并依托空运、海运、铁路及多式联运在内的运输方式满足客户对于跨境供应链管理以及物流服务的需求。</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此外，日日顺供应链在向终端消费者交付产品和服务的过程中，通过互动及沟通进一步挖掘终端消费者的个性化需求，并协同合作方提供覆盖家电、家居等众多场景的个性化定制服务，持续满足不断迭代的用户体验需求。</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日日顺供应链是当前市场上少有的具备覆盖采购、生产制造、线上线下流通渠道、跨境及末端用户场景服务的端到端供应链管理能力的企业。</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日日顺供应链业务覆盖家电、汽车、快消、家居、冷链、光伏、工业制造、跨境等众多行业/领域。</w:t>
      </w:r>
    </w:p>
    <w:p>
      <w:pPr>
        <w:snapToGrid w:val="0"/>
        <w:spacing w:line="360" w:lineRule="auto"/>
        <w:rPr>
          <w:rFonts w:ascii="仿宋" w:hAnsi="仿宋" w:eastAsia="仿宋" w:cs="楷体"/>
          <w:sz w:val="24"/>
          <w:szCs w:val="24"/>
        </w:rPr>
      </w:pPr>
    </w:p>
    <w:p>
      <w:pPr>
        <w:pStyle w:val="8"/>
        <w:numPr>
          <w:ilvl w:val="0"/>
          <w:numId w:val="2"/>
        </w:numPr>
        <w:snapToGrid w:val="0"/>
        <w:spacing w:line="360" w:lineRule="auto"/>
        <w:ind w:firstLineChars="0"/>
        <w:rPr>
          <w:rFonts w:ascii="仿宋" w:hAnsi="仿宋" w:eastAsia="仿宋" w:cs="楷体"/>
          <w:b/>
          <w:sz w:val="24"/>
          <w:szCs w:val="24"/>
          <w:u w:val="single"/>
        </w:rPr>
      </w:pPr>
      <w:r>
        <w:rPr>
          <w:rFonts w:hint="eastAsia" w:ascii="仿宋" w:hAnsi="仿宋" w:eastAsia="仿宋" w:cs="楷体"/>
          <w:b/>
          <w:sz w:val="24"/>
          <w:szCs w:val="24"/>
          <w:u w:val="single"/>
        </w:rPr>
        <w:t>日日顺供应链核心能力</w:t>
      </w:r>
    </w:p>
    <w:p>
      <w:pPr>
        <w:snapToGrid w:val="0"/>
        <w:spacing w:line="360" w:lineRule="auto"/>
        <w:ind w:firstLine="482" w:firstLineChars="200"/>
        <w:rPr>
          <w:rFonts w:ascii="仿宋" w:hAnsi="仿宋" w:eastAsia="仿宋" w:cs="楷体"/>
          <w:b/>
          <w:sz w:val="24"/>
          <w:szCs w:val="24"/>
        </w:rPr>
      </w:pPr>
      <w:r>
        <w:rPr>
          <w:rFonts w:hint="eastAsia" w:ascii="仿宋" w:hAnsi="仿宋" w:eastAsia="仿宋" w:cs="楷体"/>
          <w:b/>
          <w:sz w:val="24"/>
          <w:szCs w:val="24"/>
        </w:rPr>
        <w:t>历经二十多年的精耕与创新，日日顺供应链沉淀出“科技化”物流平台能力、“数字化”SCM解决方案能力、“场景化”云服务体验平台能力等三大核心能力。</w:t>
      </w:r>
    </w:p>
    <w:p>
      <w:pPr>
        <w:snapToGrid w:val="0"/>
        <w:spacing w:line="360" w:lineRule="auto"/>
        <w:ind w:firstLine="482" w:firstLineChars="200"/>
        <w:rPr>
          <w:rFonts w:ascii="仿宋" w:hAnsi="仿宋" w:eastAsia="仿宋" w:cs="楷体"/>
          <w:b/>
          <w:sz w:val="24"/>
          <w:szCs w:val="24"/>
        </w:rPr>
      </w:pPr>
      <w:r>
        <w:rPr>
          <w:rFonts w:hint="eastAsia" w:ascii="仿宋" w:hAnsi="仿宋" w:eastAsia="仿宋" w:cs="楷体"/>
          <w:b/>
          <w:sz w:val="24"/>
          <w:szCs w:val="24"/>
        </w:rPr>
        <w:t>1.“科技化”物流平台能力</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以创新科技为驱动，以覆盖全国的仓储网络、配送网络和服务网络构成的物流基础设施及服务网络为基础，向企业客户设计及输出全流程、多场景的供应链管理解决方案并持续进行迭代优化，以提高企业客户的供应链效率和终端用户的服务体验。</w:t>
      </w:r>
    </w:p>
    <w:p>
      <w:pPr>
        <w:snapToGrid w:val="0"/>
        <w:spacing w:line="360" w:lineRule="auto"/>
        <w:ind w:firstLine="482" w:firstLineChars="200"/>
        <w:rPr>
          <w:rFonts w:ascii="仿宋" w:hAnsi="仿宋" w:eastAsia="仿宋" w:cs="楷体"/>
          <w:sz w:val="24"/>
          <w:szCs w:val="24"/>
        </w:rPr>
      </w:pPr>
      <w:r>
        <w:rPr>
          <w:rFonts w:hint="eastAsia" w:ascii="仿宋" w:hAnsi="仿宋" w:eastAsia="仿宋" w:cs="楷体"/>
          <w:b/>
          <w:sz w:val="24"/>
          <w:szCs w:val="24"/>
        </w:rPr>
        <w:t>辐射全国的三级分布式仓储网络：</w:t>
      </w:r>
      <w:r>
        <w:rPr>
          <w:rFonts w:hint="eastAsia" w:ascii="仿宋" w:hAnsi="仿宋" w:eastAsia="仿宋" w:cs="楷体"/>
          <w:sz w:val="24"/>
          <w:szCs w:val="24"/>
        </w:rPr>
        <w:t>在仓储资源方面，日日顺供应链已在全国30个省/直辖市/自治区、超过130个地级市以自建及租赁的方式合计布局了超过900座仓库，包括240+座CDC、300+座RDC以及300+座TC，构建了覆盖全国线上线下全渠道共享的三级分布式仓储网络，并建立了以即墨仓、黄岛仓、胶州仓、杭州仓、佛山仓、南昌仓等为代表的智能仓群。通过在仓内使用智能机器人、大件AGV、四向穿梭车以及首次于大件物流领域使用的龙门机械手等定制智能化设备，以及多项人工智能技术如智能盘点技术、智能拣选技术、智能搬运技术、数字孪生技术重组仓储的生产及作业要素，对仓储进行智能化改造升级，提升仓储作业效率。</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同时，日日顺供应链也结合客户对于仓储智能化的个性化需求，对外输出先进的智能仓储解决方案，实现对外部客户的赋能，以此加速以人工化、机械化为特点的传统仓储管理向以自动化、智能化为特点的智慧物流仓储管理发展，持续赋能仓储作业效率及能力，推动智慧物流发展。</w:t>
      </w:r>
    </w:p>
    <w:p>
      <w:pPr>
        <w:snapToGrid w:val="0"/>
        <w:spacing w:line="360" w:lineRule="auto"/>
        <w:ind w:firstLine="482" w:firstLineChars="200"/>
        <w:rPr>
          <w:rFonts w:ascii="仿宋" w:hAnsi="仿宋" w:eastAsia="仿宋" w:cs="楷体"/>
          <w:sz w:val="24"/>
          <w:szCs w:val="24"/>
        </w:rPr>
      </w:pPr>
      <w:r>
        <w:rPr>
          <w:rFonts w:hint="eastAsia" w:ascii="仿宋" w:hAnsi="仿宋" w:eastAsia="仿宋" w:cs="楷体"/>
          <w:b/>
          <w:sz w:val="24"/>
          <w:szCs w:val="24"/>
        </w:rPr>
        <w:t>覆盖全球的智慧运力网络：</w:t>
      </w:r>
      <w:r>
        <w:rPr>
          <w:rFonts w:hint="eastAsia" w:ascii="仿宋" w:hAnsi="仿宋" w:eastAsia="仿宋" w:cs="楷体"/>
          <w:sz w:val="24"/>
          <w:szCs w:val="24"/>
        </w:rPr>
        <w:t>在运输网络方面，日日顺供应链开通了超过15000条干线运输线路，可有效调度近18万辆合作车辆，运输业务可触达全国超过30个省/直辖市/自治区，超过330个地级行政区，已建成辐射全国的多元化干线集配网络以及区配网络；此外，随着跨境业务的持续发展，日日顺供应链有效整合了主流海运航线、铁路线路及空运线路，以客户需求及订单资源为导向，已经开通了超过1000条海运航线、70条铁路线路、1500条空运线路，服务可触达约580个境外港口、近180个境外国家，逐步实现向全球主要国家拓展。</w:t>
      </w:r>
    </w:p>
    <w:p>
      <w:pPr>
        <w:snapToGrid w:val="0"/>
        <w:spacing w:line="360" w:lineRule="auto"/>
        <w:ind w:firstLine="482" w:firstLineChars="200"/>
        <w:rPr>
          <w:rFonts w:ascii="仿宋" w:hAnsi="仿宋" w:eastAsia="仿宋" w:cs="楷体"/>
          <w:sz w:val="24"/>
          <w:szCs w:val="24"/>
        </w:rPr>
      </w:pPr>
      <w:r>
        <w:rPr>
          <w:rFonts w:hint="eastAsia" w:ascii="仿宋" w:hAnsi="仿宋" w:eastAsia="仿宋" w:cs="楷体"/>
          <w:b/>
          <w:sz w:val="24"/>
          <w:szCs w:val="24"/>
        </w:rPr>
        <w:t>覆盖全国的末端交互与送装服务网络：</w:t>
      </w:r>
      <w:r>
        <w:rPr>
          <w:rFonts w:hint="eastAsia" w:ascii="仿宋" w:hAnsi="仿宋" w:eastAsia="仿宋" w:cs="楷体"/>
          <w:sz w:val="24"/>
          <w:szCs w:val="24"/>
        </w:rPr>
        <w:t>在末端送装服务方面，日日顺供应链依托近5000个合作服务网点和遍布全国的场景服务师，实现了末端用户送装服务，可触达全国超过2800个区县，构建了覆盖全国、到村入户、送装同步的服务网络，为提高物流履约时效和末端用户送装交付服务能力提供了基础。根据罗戈研究，日日顺供应链在大件物流服务领域拥有最广泛的末端送装网络。</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2018年，日日顺供应链作为唯一物流企业入选科技部首个“智慧物流领域”国家级重点专项“智慧物流管理与智能服务关键技术”项目，同年，日日顺物流青岛仓入选国家发展改革委和商务部联合发布的“国家智能化仓储物流示范基地”名单；2019年，日日顺供应链荣获由中国交通运输协会授予的“2019物流业十大科技创新企业”以及“2019智慧物流服务创新企业”两项大奖；2021年，荣获山东省商务厅授予的“山东省供应链创新与应用示范企业”称号；2022年8月，荣获“2022年度中国物流与采购联合会科学技术奖”（二等奖）。</w:t>
      </w:r>
    </w:p>
    <w:p>
      <w:pPr>
        <w:snapToGrid w:val="0"/>
        <w:spacing w:line="360" w:lineRule="auto"/>
        <w:ind w:firstLine="482" w:firstLineChars="200"/>
        <w:rPr>
          <w:rFonts w:ascii="仿宋" w:hAnsi="仿宋" w:eastAsia="仿宋" w:cs="楷体"/>
          <w:b/>
          <w:sz w:val="24"/>
          <w:szCs w:val="24"/>
        </w:rPr>
      </w:pPr>
      <w:r>
        <w:rPr>
          <w:rFonts w:hint="eastAsia" w:ascii="仿宋" w:hAnsi="仿宋" w:eastAsia="仿宋" w:cs="楷体"/>
          <w:b/>
          <w:sz w:val="24"/>
          <w:szCs w:val="24"/>
        </w:rPr>
        <w:t>2.“数字化”SCM解决方案能力</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依托以数字化为基础的业务运营模式，连接资源方并赋能提升资源方能力，依托对产业供应链深入理解和洞见，以覆盖“VMI、工厂物流、仓储、干线、区配、送装、揽件、鉴定、维修、回访”的全流程服务能力为基础，根据客户需求设计输出定制化的供应链管理解决方案。通过搭建供应链运营管理系统，加强对供应链及物流服务环节的作业数据及信息的采集，利用数据对供应链作业节点进行追踪管理，提升作业效率和准确性，并依托大数据技术对供应链全流程的主要环节的业务数据进行分析、生成智能决策。</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在运营过程中，日日顺供应链自主搭建供应链运营管理系统，覆盖订单管理、订单匹配、仓储管理、运输管理、末端用户送装服务等供应链核心业务环节，集成了包括订单管理系统（OMS）、仓储管理系统（WMS）、仓储控制系统（WCS）、运输管理系统（TMS）以及 最后一公里送装系统（CDK）在内的业务管理系统，以及开发面向资源合作方的业务协同APP，实现对订单管理、仓储、运输、末端送装服务等供应链核心业务环节的业务数据及信息的实时采集，利用数据对供应链作业节点进行追踪管理，可有效优化运输路由、合理调度物流资源，满足不同场景下的作业管理需求，提升作业效率和准确性，为客户及用户提供信息化、可视化、标准化的供应链综合解决方案。</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此外，供应链运营管理系统加载的大数据管理平台，可利用大数据分析技术对业务数据进行汇总、分析及监控，生成不同作业环节的智能决策以及可视化的报表，为日日顺供应链的作业流程、资源配置的优化提供了数据洞察建议，有效加强供应链的精细化运营管理，提升供应链整体运营管理效率。</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如今日日顺供应链已形成了包括订单优化管理、仓储管理、运力调度、智能路由规划以及智能装备在内的超过20项核心技术，自主研发超过40套信息系统，基本实现数字化和信息化贯穿于供应链服务的核心业务环节。</w:t>
      </w:r>
    </w:p>
    <w:p>
      <w:pPr>
        <w:snapToGrid w:val="0"/>
        <w:spacing w:line="360" w:lineRule="auto"/>
        <w:ind w:firstLine="482" w:firstLineChars="200"/>
        <w:rPr>
          <w:rFonts w:ascii="仿宋" w:hAnsi="仿宋" w:eastAsia="仿宋" w:cs="楷体"/>
          <w:b/>
          <w:sz w:val="24"/>
          <w:szCs w:val="24"/>
        </w:rPr>
      </w:pPr>
      <w:r>
        <w:rPr>
          <w:rFonts w:hint="eastAsia" w:ascii="仿宋" w:hAnsi="仿宋" w:eastAsia="仿宋" w:cs="楷体"/>
          <w:b/>
          <w:sz w:val="24"/>
          <w:szCs w:val="24"/>
        </w:rPr>
        <w:t>3.“场景化”云服务体验平台能力</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深入贯彻创新驱动发展的战略，围绕终端用户体验，于2018年领先性地推出“场景物流服务”模式，推动物流及供应链从“送到”即完成服务，向满足用户个性化需求、实现价值增值的转变，将传统物流服务终点变为创造用户新消费的起点。</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在B端，日日顺供应链为客户提供覆盖全链路、多场景的供应链管理服务解决方案。从消费供应链场景切入，日日顺供应链一方面深入洞察不同行业属性及对供应链服务的个性化需求，为企业客户量身打造定制化的供应链管理解决方案；另一方面，日日顺供应链对消费供应链场景进行服务创新，根据客户的个性化需求，提供包括前置加工、库内贴标、循环包装、库内鉴定/维修、备件管理等不同类型的增值服务。在此基础上，日日顺供应链向供应链前端制造供应链场景进行服务延伸，通过输出先进的供应链管理技术、深入参与客户产销协同体系及订单管理，打造前端原材料揽收、VMI以及场内物流在内的供应链服务能力，为生产制造企业的柔性制造、敏捷制造提供供应链管理解决方案。此外，日日顺供应链还战略性布局国际物流网络及资源场景，为客户提供覆盖海运、空运、陆运及多式联运等多种服务模式的“端到端”跨境供应链解决方案。</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在C端，日日顺供应链依托覆盖全国99%区县的末端服务网点的服务资源，与终端用户深度交互沟通，获取终端用户在家电、家居等众多场景下的个性化需求，并通过对上游优质合作方的产品和服务资源进行整合，提供满足终端用户需求的个性化定制解决方案及增值服务，持续提升用户体验。</w:t>
      </w:r>
    </w:p>
    <w:p>
      <w:pPr>
        <w:snapToGrid w:val="0"/>
        <w:spacing w:line="360" w:lineRule="auto"/>
        <w:ind w:firstLine="480" w:firstLineChars="200"/>
        <w:rPr>
          <w:rFonts w:ascii="仿宋" w:hAnsi="仿宋" w:eastAsia="仿宋" w:cs="楷体"/>
          <w:sz w:val="24"/>
          <w:szCs w:val="24"/>
        </w:rPr>
      </w:pPr>
    </w:p>
    <w:p>
      <w:pPr>
        <w:pStyle w:val="8"/>
        <w:numPr>
          <w:ilvl w:val="0"/>
          <w:numId w:val="2"/>
        </w:numPr>
        <w:snapToGrid w:val="0"/>
        <w:spacing w:line="360" w:lineRule="auto"/>
        <w:ind w:firstLineChars="0"/>
        <w:rPr>
          <w:rFonts w:ascii="仿宋" w:hAnsi="仿宋" w:eastAsia="仿宋" w:cs="楷体"/>
          <w:b/>
          <w:sz w:val="24"/>
          <w:szCs w:val="24"/>
          <w:u w:val="single"/>
        </w:rPr>
      </w:pPr>
      <w:r>
        <w:rPr>
          <w:rFonts w:hint="eastAsia" w:ascii="仿宋" w:hAnsi="仿宋" w:eastAsia="仿宋" w:cs="楷体"/>
          <w:b/>
          <w:sz w:val="24"/>
          <w:szCs w:val="24"/>
          <w:u w:val="single"/>
        </w:rPr>
        <w:t>日日顺供应链主营业务/解决方案</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日日顺供应链自诞生之日起，就为海尔提供家电一体化供应链管理服务，积累了丰富经验。目前是市场上少有的，具备覆盖采购、生产制造、线上线下流通渠道、跨境及末端用户场景服务的端到端供应链管理能力的企业。</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根据适用场景、服务内容的不同，日日顺供应链提供的服务可分为供应链管理服务、基础物流服务以及生态创新服务。其中，供应链管理服务包括消费供应链服务以及制造供应链服务，基础物流服务主要指网络货运服务以及覆盖境内外的普通货运服务，生态创新服务包括最后一公里生态服务和车后生态服务。</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1.供应链管理服务</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①消费供应链服务：日日顺供应链根据客户的具体需求，对包括供应链方案设计、仓储布局与管理、代理订舱、运输服务、报关商检及清关、末端用户配送、安装服务以及逆向物流等多项服务进行一体化整合，为客户提供定制化的供应链解决方案。</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②制造供应链服务：日日顺供应链根据客户的具体需求，对包括供应链方案设计、信息系统对接、代理订舱、循环取货、报关商检及清关、VMI、线边仓管理、JIT在内的多项服务进行一体化整合，为客户提供定制化的供应链解决方案。</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2.基础物流服务</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①网络货运服务：日日顺供应链依托互联网技术搭建了网络货运平台，对分散的货物运输需求、零散的社会运力资源进行整合，以承运人身份与客户签订运输合同承担承运人责任，并通过互联网及算法技术调度合适的承运人委托其完成货物运输。</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②普通货运服务：日日顺供应链以承运人身份与客户签订运输合同，依托稳定合作的运力供应商对运力资源进行有效调度，为客户提供涵盖公路、空运、海运、铁路及多式联运等的境内外运输服务。</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3.生态创新服务</w:t>
      </w:r>
    </w:p>
    <w:p>
      <w:pPr>
        <w:snapToGrid w:val="0"/>
        <w:spacing w:line="360" w:lineRule="auto"/>
        <w:ind w:firstLine="480" w:firstLineChars="200"/>
        <w:rPr>
          <w:rFonts w:ascii="仿宋" w:hAnsi="仿宋" w:eastAsia="仿宋" w:cs="楷体"/>
          <w:sz w:val="24"/>
          <w:szCs w:val="24"/>
        </w:rPr>
      </w:pPr>
      <w:r>
        <w:rPr>
          <w:rFonts w:hint="eastAsia" w:ascii="仿宋" w:hAnsi="仿宋" w:eastAsia="仿宋" w:cs="楷体"/>
          <w:sz w:val="24"/>
          <w:szCs w:val="24"/>
        </w:rPr>
        <w:t>①最后一公里生态服务：日日顺供应链在获取终端用户在居家、健身、出行等多种场景下的个性化需求后，通过对上游优质合作方的产品和服务资源进行整合，提供满足终端用户需求的个性化产品及增值服务。</w:t>
      </w:r>
    </w:p>
    <w:p>
      <w:pPr>
        <w:snapToGrid w:val="0"/>
        <w:spacing w:line="360" w:lineRule="auto"/>
        <w:ind w:firstLine="480" w:firstLineChars="200"/>
        <w:rPr>
          <w:rFonts w:ascii="宋体" w:hAnsi="宋体"/>
          <w:b/>
          <w:sz w:val="24"/>
          <w:szCs w:val="24"/>
        </w:rPr>
      </w:pPr>
      <w:r>
        <w:rPr>
          <w:rFonts w:hint="eastAsia" w:ascii="仿宋" w:hAnsi="仿宋" w:eastAsia="仿宋" w:cs="楷体"/>
          <w:sz w:val="24"/>
          <w:szCs w:val="24"/>
        </w:rPr>
        <w:t>②车后生态服务：向司机、车队提供油品、保险、轮胎租赁及保养等产品及服务。</w:t>
      </w:r>
    </w:p>
    <w:p>
      <w:pPr>
        <w:autoSpaceDE/>
        <w:autoSpaceDN/>
        <w:adjustRightInd/>
        <w:ind w:right="680"/>
        <w:jc w:val="both"/>
        <w:outlineLvl w:val="0"/>
        <w:rPr>
          <w:rFonts w:hint="default" w:ascii="仿宋_GB2312" w:hAnsi="Calibri" w:eastAsia="仿宋_GB2312"/>
          <w:b/>
          <w:kern w:val="2"/>
          <w:lang w:val="en-US" w:eastAsia="zh-CN"/>
        </w:rPr>
      </w:pPr>
    </w:p>
    <w:p>
      <w:pPr>
        <w:wordWrap/>
        <w:jc w:val="righ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00"/>
    <w:family w:val="auto"/>
    <w:pitch w:val="default"/>
    <w:sig w:usb0="00000000" w:usb1="00000000" w:usb2="00000010" w:usb3="00000000" w:csb0="0004009F" w:csb1="00000000"/>
  </w:font>
  <w:font w:name="仿宋_GB2312">
    <w:altName w:val="方正仿宋_GBK"/>
    <w:panose1 w:val="02010609030101010101"/>
    <w:charset w:val="00"/>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Symbol">
    <w:altName w:val="Kingsoft Sign"/>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儷宋 Pro">
    <w:panose1 w:val="02020300000000000000"/>
    <w:charset w:val="88"/>
    <w:family w:val="auto"/>
    <w:pitch w:val="default"/>
    <w:sig w:usb0="80000001" w:usb1="28091800" w:usb2="00000016" w:usb3="00000000" w:csb0="00100000"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隶变-简">
    <w:panose1 w:val="02010600040101010101"/>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F71B64"/>
    <w:multiLevelType w:val="multilevel"/>
    <w:tmpl w:val="EBF71B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687A5BB4"/>
    <w:multiLevelType w:val="multilevel"/>
    <w:tmpl w:val="687A5B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DE5E07"/>
    <w:rsid w:val="1DFF8993"/>
    <w:rsid w:val="37DE5E07"/>
    <w:rsid w:val="3C5793DF"/>
    <w:rsid w:val="46F7C26C"/>
    <w:rsid w:val="6FEFD866"/>
    <w:rsid w:val="74BF0D73"/>
    <w:rsid w:val="7E6B2A71"/>
    <w:rsid w:val="7FF53351"/>
    <w:rsid w:val="9E548C4B"/>
    <w:rsid w:val="AE3894CB"/>
    <w:rsid w:val="DEFDCC2D"/>
    <w:rsid w:val="ED7FC2FB"/>
    <w:rsid w:val="FBBF0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rPr>
      <w:sz w:val="24"/>
    </w:rPr>
  </w:style>
  <w:style w:type="character" w:styleId="7">
    <w:name w:val="Strong"/>
    <w:basedOn w:val="6"/>
    <w:qFormat/>
    <w:uiPriority w:val="0"/>
    <w:rPr>
      <w:b/>
    </w:rPr>
  </w:style>
  <w:style w:type="paragraph" w:styleId="8">
    <w:name w:val="List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14</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2025-06-06T09:59:00Z</dcterms:created>
  <dc:creator>南天雁</dc:creator>
  <cp:lastModifiedBy>南天雁</cp:lastModifiedBy>
  <dcterms:modified xsi:type="dcterms:W3CDTF">2025-06-06T11:41:16Z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06E88E63AAD578F25C6342689AC73A8C_43</vt:lpwstr>
  </property>
</Properties>
</file>