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" w:hAnsi="仿宋" w:eastAsia="方正黑体_GBK"/>
          <w:color w:val="000000"/>
          <w:sz w:val="32"/>
        </w:rPr>
      </w:pPr>
      <w:r>
        <w:rPr>
          <w:rFonts w:hint="eastAsia" w:ascii="方正黑体_GBK" w:hAnsi="方正黑体_GBK" w:eastAsia="方正黑体_GBK" w:cs="方正黑体_GBK"/>
          <w:b/>
          <w:bCs/>
          <w:color w:val="000000"/>
          <w:sz w:val="32"/>
        </w:rPr>
        <w:t>经济管理学院2022年</w:t>
      </w:r>
      <w:r>
        <w:rPr>
          <w:rFonts w:hint="eastAsia" w:ascii="方正黑体_GBK" w:hAnsi="方正黑体_GBK" w:eastAsia="方正黑体_GBK" w:cs="方正黑体_GBK"/>
          <w:b/>
          <w:bCs/>
          <w:color w:val="000000"/>
          <w:sz w:val="32"/>
          <w:lang w:val="en-US" w:eastAsia="zh-CN"/>
        </w:rPr>
        <w:t>12</w:t>
      </w:r>
      <w:r>
        <w:rPr>
          <w:rFonts w:hint="eastAsia" w:ascii="方正黑体_GBK" w:hAnsi="方正黑体_GBK" w:eastAsia="方正黑体_GBK" w:cs="方正黑体_GBK"/>
          <w:b/>
          <w:bCs/>
          <w:color w:val="000000"/>
          <w:sz w:val="32"/>
        </w:rPr>
        <w:t>月工程硕士及工程管理硕士答辩安排及注意事项</w:t>
      </w:r>
    </w:p>
    <w:p>
      <w:pPr>
        <w:jc w:val="left"/>
        <w:rPr>
          <w:rFonts w:ascii="方正楷体_GBK" w:hAnsi="方正楷体_GBK" w:eastAsia="方正楷体_GBK" w:cs="方正楷体_GBK"/>
          <w:b/>
          <w:bCs/>
          <w:color w:val="000000"/>
          <w:sz w:val="30"/>
          <w:szCs w:val="30"/>
        </w:rPr>
      </w:pPr>
    </w:p>
    <w:tbl>
      <w:tblPr>
        <w:tblStyle w:val="3"/>
        <w:tblW w:w="1490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628"/>
        <w:gridCol w:w="7116"/>
        <w:gridCol w:w="22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>
            <w:pPr>
              <w:widowControl w:val="0"/>
              <w:ind w:firstLine="562" w:firstLineChars="200"/>
              <w:jc w:val="left"/>
              <w:rPr>
                <w:rFonts w:ascii="仿宋" w:hAnsi="仿宋" w:eastAsia="仿宋"/>
                <w:b/>
                <w:bCs/>
                <w:color w:val="000000"/>
                <w:kern w:val="0"/>
                <w:sz w:val="28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kern w:val="0"/>
                <w:sz w:val="28"/>
              </w:rPr>
              <w:t>答辩事项</w:t>
            </w:r>
          </w:p>
        </w:tc>
        <w:tc>
          <w:tcPr>
            <w:tcW w:w="2628" w:type="dxa"/>
          </w:tcPr>
          <w:p>
            <w:pPr>
              <w:widowControl w:val="0"/>
              <w:jc w:val="left"/>
              <w:rPr>
                <w:rFonts w:ascii="仿宋" w:hAnsi="仿宋" w:eastAsia="仿宋"/>
                <w:b/>
                <w:bCs/>
                <w:color w:val="000000"/>
                <w:kern w:val="0"/>
                <w:sz w:val="28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kern w:val="0"/>
                <w:sz w:val="28"/>
              </w:rPr>
              <w:t>时间安排</w:t>
            </w:r>
          </w:p>
        </w:tc>
        <w:tc>
          <w:tcPr>
            <w:tcW w:w="7116" w:type="dxa"/>
          </w:tcPr>
          <w:p>
            <w:pPr>
              <w:widowControl w:val="0"/>
              <w:jc w:val="left"/>
              <w:rPr>
                <w:rFonts w:ascii="仿宋" w:hAnsi="仿宋" w:eastAsia="仿宋"/>
                <w:b/>
                <w:bCs/>
                <w:color w:val="000000"/>
                <w:kern w:val="0"/>
                <w:sz w:val="28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kern w:val="0"/>
                <w:sz w:val="28"/>
              </w:rPr>
              <w:t>答辩事项</w:t>
            </w:r>
          </w:p>
        </w:tc>
        <w:tc>
          <w:tcPr>
            <w:tcW w:w="2280" w:type="dxa"/>
          </w:tcPr>
          <w:p>
            <w:pPr>
              <w:widowControl w:val="0"/>
              <w:jc w:val="left"/>
              <w:rPr>
                <w:rFonts w:ascii="仿宋" w:hAnsi="仿宋" w:eastAsia="仿宋"/>
                <w:b/>
                <w:bCs/>
                <w:color w:val="000000"/>
                <w:kern w:val="0"/>
                <w:sz w:val="28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kern w:val="0"/>
                <w:sz w:val="28"/>
              </w:rPr>
              <w:t>材料及设备清单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>
            <w:pPr>
              <w:widowControl w:val="0"/>
              <w:jc w:val="left"/>
              <w:rPr>
                <w:rFonts w:ascii="仿宋" w:hAnsi="仿宋" w:eastAsia="仿宋"/>
                <w:color w:val="00000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1、答辩前准备事项</w:t>
            </w:r>
          </w:p>
        </w:tc>
        <w:tc>
          <w:tcPr>
            <w:tcW w:w="2628" w:type="dxa"/>
          </w:tcPr>
          <w:p>
            <w:pPr>
              <w:widowControl w:val="0"/>
              <w:jc w:val="left"/>
              <w:rPr>
                <w:rFonts w:ascii="仿宋" w:hAnsi="仿宋" w:eastAsia="仿宋"/>
                <w:color w:val="00000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周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  <w:t>四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下午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  <w:t>五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点之前（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日）</w:t>
            </w:r>
          </w:p>
          <w:p>
            <w:pPr>
              <w:widowControl w:val="0"/>
              <w:jc w:val="center"/>
              <w:rPr>
                <w:rFonts w:ascii="仿宋" w:hAnsi="仿宋" w:eastAsia="仿宋"/>
                <w:kern w:val="0"/>
                <w:sz w:val="28"/>
              </w:rPr>
            </w:pPr>
          </w:p>
        </w:tc>
        <w:tc>
          <w:tcPr>
            <w:tcW w:w="7116" w:type="dxa"/>
          </w:tcPr>
          <w:p>
            <w:pPr>
              <w:widowControl w:val="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1、根据论文摘要及评审意见撰写答辩决议WORD版（模板见附件）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  <w:t>、和答辩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论文WORD版（完整版本，带学号姓名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  <w:t>，隐去导师姓名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）、发送至本组秘书邮箱，要求：论文以“学号+姓名+论文题目”命名，答辩决议以“学号+姓名”命名。</w:t>
            </w:r>
          </w:p>
          <w:p>
            <w:pPr>
              <w:widowControl w:val="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2、答辩PPT，要求附上修改说明；答辩PPT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  <w:t>隐去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姓名及导师姓名，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  <w:t>需要准确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讲清楚论文主要内容。</w:t>
            </w:r>
          </w:p>
          <w:p>
            <w:pPr>
              <w:widowControl w:val="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3、下载“腾讯会议”app，并提前熟悉“腾讯会议”的使用，能够上传资料和修改昵称等。确保网络正常，麦克风和摄像头正常。</w:t>
            </w:r>
          </w:p>
        </w:tc>
        <w:tc>
          <w:tcPr>
            <w:tcW w:w="2280" w:type="dxa"/>
          </w:tcPr>
          <w:p>
            <w:pPr>
              <w:widowControl w:val="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答辩决议</w:t>
            </w:r>
          </w:p>
          <w:p>
            <w:pPr>
              <w:widowControl w:val="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学位论文</w:t>
            </w:r>
          </w:p>
          <w:p>
            <w:pPr>
              <w:widowControl w:val="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答辩PPT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>
            <w:pPr>
              <w:widowControl w:val="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2、答辩安排</w:t>
            </w:r>
          </w:p>
        </w:tc>
        <w:tc>
          <w:tcPr>
            <w:tcW w:w="2628" w:type="dxa"/>
          </w:tcPr>
          <w:p>
            <w:pPr>
              <w:widowControl w:val="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按照答辩分组，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号早上8:00统一进入腾讯会议</w:t>
            </w:r>
          </w:p>
        </w:tc>
        <w:tc>
          <w:tcPr>
            <w:tcW w:w="7116" w:type="dxa"/>
          </w:tcPr>
          <w:p>
            <w:pPr>
              <w:widowControl w:val="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1、请答辩当天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  <w:t>准备好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一卡通或者身份证提前进入“腾讯会议”，将会议中的“昵称”修改为“学号+姓名”。</w:t>
            </w:r>
          </w:p>
          <w:p>
            <w:pPr>
              <w:widowControl w:val="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2、向答辩组秘书老师报到，将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</w:rPr>
              <w:t>当天的答辩专家记录在审批材料第二页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，审批材料第二页答辩专家本人签字栏务必空出来。</w:t>
            </w:r>
          </w:p>
          <w:p>
            <w:pPr>
              <w:widowControl w:val="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3、按顺序通过屏幕共享方式汇报答辩PPT。</w:t>
            </w:r>
          </w:p>
          <w:p>
            <w:pPr>
              <w:widowControl w:val="0"/>
              <w:jc w:val="left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4、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</w:rPr>
              <w:t>做好答辩记录并在审批材料（答辩记录中）填写，答辩记录人签字部分为“空”</w:t>
            </w:r>
          </w:p>
        </w:tc>
        <w:tc>
          <w:tcPr>
            <w:tcW w:w="2280" w:type="dxa"/>
          </w:tcPr>
          <w:p>
            <w:pPr>
              <w:widowControl w:val="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一卡通或身份证</w:t>
            </w:r>
          </w:p>
          <w:p>
            <w:pPr>
              <w:widowControl w:val="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答辩PPT</w:t>
            </w:r>
          </w:p>
          <w:p>
            <w:pPr>
              <w:widowControl w:val="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学位论文</w:t>
            </w:r>
          </w:p>
          <w:p>
            <w:pPr>
              <w:widowControl w:val="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纸和笔（做好答辩问题和回答的记录）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>
            <w:pPr>
              <w:widowControl w:val="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3、答辩后事项</w:t>
            </w:r>
          </w:p>
        </w:tc>
        <w:tc>
          <w:tcPr>
            <w:tcW w:w="2628" w:type="dxa"/>
          </w:tcPr>
          <w:p>
            <w:pPr>
              <w:widowControl w:val="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等学校进一步通知</w:t>
            </w:r>
          </w:p>
        </w:tc>
        <w:tc>
          <w:tcPr>
            <w:tcW w:w="7116" w:type="dxa"/>
          </w:tcPr>
          <w:p>
            <w:pPr>
              <w:widowControl w:val="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1、将答辩专家建议及时反馈给导师，并根据答辩专家意见及导师意见修改论文，修改完成后发送给导师进行最终版本确认；最终版论文电子签名后转成PDF格式上传至学位信息采集系统并请导师确认，最终时间为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月1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号。</w:t>
            </w:r>
          </w:p>
          <w:p>
            <w:pPr>
              <w:widowControl w:val="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2、等后续学校安排，提交纸质版审批材料、毕业生登记表、中文摘要等全部归档材料（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  <w:t>需要完成导师签字，班委签字及单位盖章，表格均为一式两份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）。</w:t>
            </w:r>
          </w:p>
        </w:tc>
        <w:tc>
          <w:tcPr>
            <w:tcW w:w="2280" w:type="dxa"/>
          </w:tcPr>
          <w:p>
            <w:pPr>
              <w:widowControl w:val="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审批材料（学生部分）两份</w:t>
            </w:r>
          </w:p>
          <w:p>
            <w:pPr>
              <w:widowControl w:val="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毕业生登记表两份摘要两份</w:t>
            </w:r>
          </w:p>
          <w:p>
            <w:pPr>
              <w:widowControl w:val="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>
            <w:pPr>
              <w:widowControl w:val="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4、学生离校及准备工作</w:t>
            </w:r>
          </w:p>
        </w:tc>
        <w:tc>
          <w:tcPr>
            <w:tcW w:w="2628" w:type="dxa"/>
          </w:tcPr>
          <w:p>
            <w:pPr>
              <w:widowControl w:val="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等学校进一步通知</w:t>
            </w:r>
          </w:p>
        </w:tc>
        <w:tc>
          <w:tcPr>
            <w:tcW w:w="7116" w:type="dxa"/>
          </w:tcPr>
          <w:p>
            <w:pPr>
              <w:widowControl w:val="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1、登陆MIS系统查看离校手续，按照学校安排完成就业派遣相关工作，办理离校手续。（具体待学校进一步通知）</w:t>
            </w:r>
          </w:p>
          <w:p>
            <w:pPr>
              <w:widowControl w:val="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2、领取证书及档案。（具体待学校进一步通知）</w:t>
            </w:r>
          </w:p>
        </w:tc>
        <w:tc>
          <w:tcPr>
            <w:tcW w:w="2280" w:type="dxa"/>
          </w:tcPr>
          <w:p>
            <w:pPr>
              <w:widowControl w:val="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jc w:val="left"/>
      </w:pPr>
    </w:p>
    <w:p/>
    <w:sectPr>
      <w:pgSz w:w="17338" w:h="11906" w:orient="landscape"/>
      <w:pgMar w:top="1715" w:right="2014" w:bottom="1755" w:left="144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楷体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FlOGQxODE4NmYyNjNkMTYxYmFkOWYzZGUyNjc2ZGQifQ=="/>
  </w:docVars>
  <w:rsids>
    <w:rsidRoot w:val="00021217"/>
    <w:rsid w:val="00021217"/>
    <w:rsid w:val="001B63E5"/>
    <w:rsid w:val="0037414D"/>
    <w:rsid w:val="0043530C"/>
    <w:rsid w:val="00497639"/>
    <w:rsid w:val="005B3C00"/>
    <w:rsid w:val="006E51E4"/>
    <w:rsid w:val="007D2D48"/>
    <w:rsid w:val="00AE557B"/>
    <w:rsid w:val="00B237F4"/>
    <w:rsid w:val="00BD0F5D"/>
    <w:rsid w:val="00C0785F"/>
    <w:rsid w:val="00CE386D"/>
    <w:rsid w:val="00EC3DFF"/>
    <w:rsid w:val="0819263A"/>
    <w:rsid w:val="1AAE5959"/>
    <w:rsid w:val="2802440C"/>
    <w:rsid w:val="2EA61AF5"/>
    <w:rsid w:val="40D462A7"/>
    <w:rsid w:val="475D3FCF"/>
    <w:rsid w:val="4EED611E"/>
    <w:rsid w:val="54B77116"/>
    <w:rsid w:val="6D742B34"/>
    <w:rsid w:val="70EE2098"/>
    <w:rsid w:val="75AA77CA"/>
    <w:rsid w:val="77891A5A"/>
    <w:rsid w:val="7F911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796</Words>
  <Characters>830</Characters>
  <Lines>6</Lines>
  <Paragraphs>1</Paragraphs>
  <TotalTime>4</TotalTime>
  <ScaleCrop>false</ScaleCrop>
  <LinksUpToDate>false</LinksUpToDate>
  <CharactersWithSpaces>830</CharactersWithSpaces>
  <Application>WPS Office_11.1.0.12651_F1E327BC-269C-435d-A152-05C5408002CA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2022-09-06T07:51:00Z</dcterms:created>
  <dc:creator>lenovo</dc:creator>
  <cp:lastModifiedBy>whl</cp:lastModifiedBy>
  <dcterms:modified xsi:type="dcterms:W3CDTF">2022-12-06T03:04:18Z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2052-11.1.0.12651</vt:lpwstr>
  </property>
  <property fmtid="{D5CDD505-2E9C-101B-9397-08002B2CF9AE}" pid="3" name="ICV">
    <vt:lpwstr>A297A0C186EF41AB9405F85ED847888E</vt:lpwstr>
  </property>
</Properties>
</file>