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b/>
          <w:bCs/>
          <w:sz w:val="32"/>
          <w:szCs w:val="40"/>
        </w:rPr>
      </w:pPr>
      <w:r>
        <w:rPr>
          <w:rFonts w:hint="eastAsia"/>
          <w:b/>
          <w:bCs/>
          <w:sz w:val="32"/>
          <w:szCs w:val="40"/>
        </w:rPr>
        <w:t>2021年北京交通大学工商管理硕士（MBA）招生简章</w:t>
      </w:r>
    </w:p>
    <w:p>
      <w:pPr>
        <w:spacing w:line="360" w:lineRule="auto"/>
        <w:rPr>
          <w:rFonts w:hint="eastAsia"/>
        </w:rPr>
      </w:pPr>
      <w:r>
        <w:rPr>
          <w:rFonts w:hint="eastAsia"/>
          <w:b/>
          <w:bCs/>
        </w:rPr>
        <w:t>一、招生宗旨</w:t>
      </w:r>
      <w:r>
        <w:rPr>
          <w:rFonts w:hint="eastAsia"/>
        </w:rPr>
        <w:t xml:space="preserve"> </w:t>
      </w:r>
    </w:p>
    <w:p>
      <w:pPr>
        <w:spacing w:line="360" w:lineRule="auto"/>
        <w:ind w:firstLine="420" w:firstLineChars="200"/>
        <w:rPr>
          <w:rFonts w:hint="eastAsia"/>
        </w:rPr>
      </w:pPr>
      <w:r>
        <w:rPr>
          <w:rFonts w:hint="eastAsia"/>
        </w:rPr>
        <w:t xml:space="preserve">贡献商学智慧，培育领军人才，造福经济社会。依托经管学院“丰富的教学资源、一流的师资团队、广泛的国际交流、多彩的学习生活、个性化的职业发展服务与广阔的就业通道”，北京交通大学MBA充分发挥学校行业特色大学发展底蕴，立足产业需求，强化交通物流特色，并积极延伸至相关的资本金融、信息技术、建筑地产、旅游健康等领域，为行业发展提供有力支撑。使北京交通大学 MBA 教育项目成为培养行业和学科特色鲜明，具有人文精神、勇于创新、全球视野、知行合一的复合型高级经营管理人才的摇篮。 </w:t>
      </w:r>
    </w:p>
    <w:p>
      <w:pPr>
        <w:spacing w:line="360" w:lineRule="auto"/>
        <w:rPr>
          <w:rFonts w:hint="eastAsia"/>
        </w:rPr>
      </w:pPr>
      <w:r>
        <w:rPr>
          <w:rFonts w:hint="eastAsia"/>
          <w:b/>
          <w:bCs/>
        </w:rPr>
        <w:t xml:space="preserve">二、报考条件 </w:t>
      </w:r>
      <w:r>
        <w:rPr>
          <w:rFonts w:hint="eastAsia"/>
        </w:rPr>
        <w:t xml:space="preserve"> </w:t>
      </w:r>
    </w:p>
    <w:p>
      <w:pPr>
        <w:spacing w:line="360" w:lineRule="auto"/>
        <w:rPr>
          <w:rFonts w:hint="eastAsia"/>
        </w:rPr>
      </w:pPr>
      <w:r>
        <w:rPr>
          <w:rFonts w:hint="eastAsia"/>
        </w:rPr>
        <w:t xml:space="preserve">（一）中华人民共和国公民。 </w:t>
      </w:r>
    </w:p>
    <w:p>
      <w:pPr>
        <w:spacing w:line="360" w:lineRule="auto"/>
        <w:rPr>
          <w:rFonts w:hint="eastAsia"/>
        </w:rPr>
      </w:pPr>
      <w:r>
        <w:rPr>
          <w:rFonts w:hint="eastAsia"/>
        </w:rPr>
        <w:t xml:space="preserve">（二）拥护中国共产党的领导，品德良好，遵纪守法。 </w:t>
      </w:r>
    </w:p>
    <w:p>
      <w:pPr>
        <w:spacing w:line="360" w:lineRule="auto"/>
        <w:rPr>
          <w:rFonts w:hint="eastAsia"/>
        </w:rPr>
      </w:pPr>
      <w:r>
        <w:rPr>
          <w:rFonts w:hint="eastAsia"/>
        </w:rPr>
        <w:t xml:space="preserve">（三）身体健康状况符合国家规定的体检要求。 </w:t>
      </w:r>
    </w:p>
    <w:p>
      <w:pPr>
        <w:spacing w:line="360" w:lineRule="auto"/>
        <w:rPr>
          <w:rFonts w:hint="eastAsia"/>
        </w:rPr>
      </w:pPr>
      <w:r>
        <w:rPr>
          <w:rFonts w:hint="eastAsia"/>
        </w:rPr>
        <w:t xml:space="preserve">（四）大学本科毕业后有 3 年以上工作经验的人员；或获得国家承认的高职高专毕业学历或大学本科结业后，达到大学本科毕业同等学力并有 5 年以上工作经验的人员；或获得硕士学位或博士学位后有 2 年以上工作经验的人员。  </w:t>
      </w:r>
    </w:p>
    <w:p>
      <w:pPr>
        <w:spacing w:line="360" w:lineRule="auto"/>
        <w:rPr>
          <w:rFonts w:hint="eastAsia"/>
        </w:rPr>
      </w:pPr>
      <w:r>
        <w:rPr>
          <w:rFonts w:hint="eastAsia"/>
        </w:rPr>
        <w:t xml:space="preserve">（五）在校研究生报考须在报名前征得所在培养单位同意。  </w:t>
      </w:r>
    </w:p>
    <w:p>
      <w:pPr>
        <w:spacing w:line="360" w:lineRule="auto"/>
        <w:rPr>
          <w:rFonts w:hint="eastAsia"/>
        </w:rPr>
      </w:pPr>
      <w:r>
        <w:rPr>
          <w:rFonts w:hint="eastAsia"/>
        </w:rPr>
        <w:t xml:space="preserve">（六）在境外获得学历（学位）的考生，报名前其学历（学位）证书须通过教育部留学服务中心的认证。 </w:t>
      </w:r>
    </w:p>
    <w:p>
      <w:pPr>
        <w:spacing w:line="360" w:lineRule="auto"/>
        <w:rPr>
          <w:rFonts w:hint="eastAsia"/>
          <w:b/>
          <w:bCs/>
        </w:rPr>
      </w:pPr>
      <w:r>
        <w:rPr>
          <w:rFonts w:hint="eastAsia"/>
          <w:b/>
          <w:bCs/>
        </w:rPr>
        <w:t>三、报考程序</w:t>
      </w:r>
    </w:p>
    <w:p>
      <w:pPr>
        <w:spacing w:line="360" w:lineRule="auto"/>
        <w:ind w:firstLine="420" w:firstLineChars="200"/>
        <w:rPr>
          <w:rFonts w:hint="eastAsia"/>
        </w:rPr>
      </w:pPr>
      <w:r>
        <w:rPr>
          <w:rFonts w:hint="eastAsia"/>
        </w:rPr>
        <w:t xml:space="preserve">凡是符合我校报考条件的考生，请于报考前，仔细阅读教育部、所在省级教育招生考试机构、报考点以及招生单位的网报公告、通知等文件。不按要求报名，误填、错填报考信息或填报虚假信息，而导致不能网上确认、初试或复试的后果，由考生本人承担。 </w:t>
      </w:r>
    </w:p>
    <w:p>
      <w:pPr>
        <w:spacing w:line="360" w:lineRule="auto"/>
        <w:rPr>
          <w:rFonts w:hint="eastAsia"/>
        </w:rPr>
      </w:pPr>
      <w:r>
        <w:rPr>
          <w:rFonts w:hint="eastAsia"/>
        </w:rPr>
        <w:t>（一）网上报名</w:t>
      </w:r>
    </w:p>
    <w:p>
      <w:pPr>
        <w:spacing w:line="360" w:lineRule="auto"/>
        <w:ind w:firstLine="420" w:firstLineChars="200"/>
        <w:rPr>
          <w:rFonts w:hint="eastAsia"/>
        </w:rPr>
      </w:pPr>
      <w:r>
        <w:rPr>
          <w:rFonts w:hint="eastAsia"/>
        </w:rPr>
        <w:t xml:space="preserve">登录北京交通大学研究生院招生专题网站（网址http://gs.bjtu.edu.cn/cms/zszt/），仔细阅读相关信息，确定本人符合报考条件后2020年 10 月 10 日至 10 月 31 日期间每天 9:00～22:00，登录中国研究生招生信息网（网址 http://yz.chsi.com.cn/或 http://yz.chsi.cn/），浏览相关信息，并按教育部、所在省级教育招生考试机构、报考点以及招生单位的网上公告要求报名。报名期间，考生可自行修改网上报名信息或重新填报报名信息，但一位考生只能保留一条有效报名信息。逾期不再补报，也不得再修改报名信息。 </w:t>
      </w:r>
    </w:p>
    <w:p>
      <w:pPr>
        <w:spacing w:line="360" w:lineRule="auto"/>
        <w:rPr>
          <w:rFonts w:hint="eastAsia"/>
        </w:rPr>
      </w:pPr>
      <w:r>
        <w:rPr>
          <w:rFonts w:hint="eastAsia"/>
        </w:rPr>
        <w:t xml:space="preserve">重要提示：  </w:t>
      </w:r>
    </w:p>
    <w:p>
      <w:pPr>
        <w:spacing w:line="360" w:lineRule="auto"/>
        <w:ind w:firstLine="420" w:firstLineChars="200"/>
        <w:rPr>
          <w:rFonts w:hint="eastAsia"/>
        </w:rPr>
      </w:pPr>
      <w:r>
        <w:rPr>
          <w:rFonts w:hint="eastAsia"/>
        </w:rPr>
        <w:t>1.</w:t>
      </w:r>
      <w:r>
        <w:rPr>
          <w:rFonts w:hint="eastAsia"/>
          <w:lang w:eastAsia="zh-CN"/>
        </w:rPr>
        <w:t>报考工商管理</w:t>
      </w:r>
      <w:r>
        <w:rPr>
          <w:rFonts w:hint="eastAsia"/>
        </w:rPr>
        <w:t>往届毕业生，且户口或工作所在地在北京。户口在北京的考生网上确认时须提供户口本（簿）；户口不在北京但工作单位在北京的考生网上确认时须提供2020年7月以后至少连续三个月缴费正常的《北京市社会保险个人权益记录》，《北京市社会保险个人权益记录》要求在“北京市社会保险网上服务平台”申请并打印，个人权益记录流水号及校验码清晰可见并在有效期内可查询真伪。</w:t>
      </w:r>
    </w:p>
    <w:p>
      <w:pPr>
        <w:spacing w:line="360" w:lineRule="auto"/>
        <w:ind w:firstLine="420" w:firstLineChars="200"/>
        <w:rPr>
          <w:rFonts w:hint="eastAsia"/>
        </w:rPr>
      </w:pPr>
      <w:r>
        <w:rPr>
          <w:rFonts w:hint="eastAsia"/>
        </w:rPr>
        <w:t xml:space="preserve">2.选择“北京交通大学”报考点的考生，须于 2020年 10 月 10 日至 10 月 31 日网上报名期间网上支付报名费，未按要求网上支付报名费的考生，报考点将不予网上确认。  </w:t>
      </w:r>
    </w:p>
    <w:p>
      <w:pPr>
        <w:spacing w:line="360" w:lineRule="auto"/>
        <w:ind w:firstLine="420" w:firstLineChars="200"/>
        <w:rPr>
          <w:rFonts w:hint="eastAsia"/>
        </w:rPr>
      </w:pPr>
      <w:r>
        <w:rPr>
          <w:rFonts w:hint="eastAsia"/>
        </w:rPr>
        <w:t xml:space="preserve">3.报名期间将对考生学历（学籍）信息进行网上校验，考生可上网查看学历（学籍） 校验结果。建议考生在 2020年 10 月 10 日网上报名开始前，先自行登录“中国高等教育学生信息网（网址 http://www.chsi.com.cn/）”查询本人学历（学籍）信息，按照查询到的学历（学籍）信息进行网上信息填报。未查询到学历（学籍）的考生必须尽早到中国高等教育学生信息网（网址 http://www.chsi.com.cn/）进行认证；若为境外或港澳台学位学历获得者，须登录教育部网站（网址 http://www.moe.edu.cn/）查询认证，并获取书面认证报告。 </w:t>
      </w:r>
    </w:p>
    <w:p>
      <w:pPr>
        <w:spacing w:line="360" w:lineRule="auto"/>
        <w:ind w:firstLine="420" w:firstLineChars="200"/>
        <w:rPr>
          <w:rFonts w:hint="eastAsia"/>
        </w:rPr>
      </w:pPr>
      <w:r>
        <w:rPr>
          <w:rFonts w:hint="eastAsia"/>
        </w:rPr>
        <w:t xml:space="preserve">4.未通过学历（学籍）网上校验的考生应在 2020年 11 月 10 日前，将认证报告通过邮政挂号信或EMS 寄（送）至我校研招办。如因更改姓名或身份证号码导致学历（学籍） 校验未通过的考生，还须同时寄（送）具有更改记录的户口本（簿）或公安机关开具的相关证明。 </w:t>
      </w:r>
    </w:p>
    <w:p>
      <w:pPr>
        <w:spacing w:line="360" w:lineRule="auto"/>
        <w:ind w:firstLine="420" w:firstLineChars="200"/>
        <w:rPr>
          <w:rFonts w:hint="eastAsia"/>
        </w:rPr>
      </w:pPr>
      <w:r>
        <w:rPr>
          <w:rFonts w:hint="eastAsia"/>
        </w:rPr>
        <w:t>5.在校研究生报考须在2020年11月10日前提交在读学校研究生培养管理部门同意报考的证明（有经办人签字、联系方式以及部门盖章的原件）。</w:t>
      </w:r>
    </w:p>
    <w:p>
      <w:pPr>
        <w:spacing w:line="360" w:lineRule="auto"/>
        <w:rPr>
          <w:rFonts w:hint="eastAsia" w:eastAsiaTheme="minorEastAsia"/>
          <w:b w:val="0"/>
          <w:bCs w:val="0"/>
          <w:color w:val="auto"/>
          <w:lang w:eastAsia="zh-CN"/>
        </w:rPr>
      </w:pPr>
      <w:r>
        <w:rPr>
          <w:rFonts w:hint="eastAsia"/>
          <w:b w:val="0"/>
          <w:bCs w:val="0"/>
          <w:color w:val="auto"/>
        </w:rPr>
        <w:t>（二）网上确认</w:t>
      </w:r>
      <w:r>
        <w:rPr>
          <w:rFonts w:hint="eastAsia"/>
          <w:b w:val="0"/>
          <w:bCs w:val="0"/>
          <w:color w:val="auto"/>
          <w:lang w:eastAsia="zh-CN"/>
        </w:rPr>
        <w:t>（现场确认）</w:t>
      </w:r>
    </w:p>
    <w:p>
      <w:pPr>
        <w:spacing w:line="360" w:lineRule="auto"/>
        <w:ind w:firstLine="420" w:firstLineChars="200"/>
        <w:rPr>
          <w:rFonts w:hint="eastAsia" w:eastAsiaTheme="minorEastAsia"/>
          <w:color w:val="auto"/>
          <w:lang w:eastAsia="zh-CN"/>
        </w:rPr>
      </w:pPr>
      <w:r>
        <w:rPr>
          <w:rFonts w:hint="eastAsia"/>
          <w:color w:val="auto"/>
        </w:rPr>
        <w:t>1.所有考生均应当在规定时间内在网上或到报考点指定地点现场核对并确认其网上报名信息，逾期不再补办。网上确认</w:t>
      </w:r>
      <w:r>
        <w:rPr>
          <w:rFonts w:hint="eastAsia"/>
          <w:color w:val="auto"/>
          <w:lang w:eastAsia="zh-CN"/>
        </w:rPr>
        <w:t>（现场确认）</w:t>
      </w:r>
      <w:r>
        <w:rPr>
          <w:rFonts w:hint="eastAsia"/>
          <w:color w:val="auto"/>
        </w:rPr>
        <w:t>时间由各省级教育招生考试机构根据国家招生工作安排和本地区报考组织情况自行确定和公布。</w:t>
      </w:r>
    </w:p>
    <w:p>
      <w:pPr>
        <w:spacing w:line="360" w:lineRule="auto"/>
        <w:ind w:firstLine="420" w:firstLineChars="200"/>
        <w:rPr>
          <w:rFonts w:hint="eastAsia"/>
          <w:color w:val="auto"/>
        </w:rPr>
      </w:pPr>
      <w:r>
        <w:rPr>
          <w:rFonts w:hint="eastAsia"/>
          <w:color w:val="auto"/>
        </w:rPr>
        <w:t>2.考生网上确认</w:t>
      </w:r>
      <w:r>
        <w:rPr>
          <w:rFonts w:hint="eastAsia"/>
          <w:color w:val="auto"/>
          <w:lang w:eastAsia="zh-CN"/>
        </w:rPr>
        <w:t>（现场确认）</w:t>
      </w:r>
      <w:r>
        <w:rPr>
          <w:rFonts w:hint="eastAsia"/>
          <w:color w:val="auto"/>
        </w:rPr>
        <w:t>应当提交本人居民身份证、学历学位证书（应届本科毕业生持学生证）和网上报名编号，由报考点工作人员进行核对。</w:t>
      </w:r>
    </w:p>
    <w:p>
      <w:pPr>
        <w:spacing w:line="360" w:lineRule="auto"/>
        <w:ind w:firstLine="420" w:firstLineChars="200"/>
        <w:rPr>
          <w:rFonts w:hint="eastAsia"/>
          <w:color w:val="auto"/>
        </w:rPr>
      </w:pPr>
      <w:r>
        <w:rPr>
          <w:rFonts w:hint="eastAsia"/>
          <w:color w:val="auto"/>
        </w:rPr>
        <w:t>3.所有考生均应当对本人网上报名信息进行认真核对并确认。报名信息经考生确认后一律不作修改，因考生填写错误引起的一切后果由其自行承担。</w:t>
      </w:r>
    </w:p>
    <w:p>
      <w:pPr>
        <w:spacing w:line="360" w:lineRule="auto"/>
        <w:ind w:firstLine="420" w:firstLineChars="200"/>
        <w:rPr>
          <w:rFonts w:hint="eastAsia"/>
          <w:color w:val="auto"/>
        </w:rPr>
      </w:pPr>
      <w:r>
        <w:rPr>
          <w:rFonts w:hint="eastAsia"/>
          <w:color w:val="auto"/>
        </w:rPr>
        <w:t>4.考生应当按规定缴纳报考费。</w:t>
      </w:r>
    </w:p>
    <w:p>
      <w:pPr>
        <w:spacing w:line="360" w:lineRule="auto"/>
        <w:ind w:firstLine="420" w:firstLineChars="200"/>
        <w:rPr>
          <w:rFonts w:hint="eastAsia"/>
          <w:color w:val="auto"/>
        </w:rPr>
      </w:pPr>
      <w:r>
        <w:rPr>
          <w:rFonts w:hint="eastAsia"/>
          <w:color w:val="auto"/>
        </w:rPr>
        <w:t>5.考生应当按报考点规定配合采集本人图像等相关电子信息。</w:t>
      </w:r>
    </w:p>
    <w:p>
      <w:pPr>
        <w:spacing w:line="360" w:lineRule="auto"/>
        <w:rPr>
          <w:rFonts w:hint="eastAsia"/>
        </w:rPr>
      </w:pPr>
      <w:r>
        <w:rPr>
          <w:rFonts w:hint="eastAsia"/>
        </w:rPr>
        <w:t xml:space="preserve">（三）打印准考证 </w:t>
      </w:r>
    </w:p>
    <w:p>
      <w:pPr>
        <w:spacing w:line="360" w:lineRule="auto"/>
        <w:ind w:firstLine="420" w:firstLineChars="200"/>
        <w:rPr>
          <w:rFonts w:hint="eastAsia"/>
        </w:rPr>
      </w:pPr>
      <w:r>
        <w:rPr>
          <w:rFonts w:hint="eastAsia"/>
        </w:rPr>
        <w:t>2020年12月19日-12月28日期间，考生可凭网报“用户名”和“密码”登录中国研究生招生信息网（网址为 http://yz.chsi.com.cn/或 http://yz.chsi.cn/）下载打印《准考证》。《准考证》使用 A4 幅面白纸打印，正、反两面在使用期间不得涂改或书写。考生凭下载打印的《准考证》及居民身份证参加初试和复试。</w:t>
      </w:r>
    </w:p>
    <w:p>
      <w:pPr>
        <w:spacing w:line="360" w:lineRule="auto"/>
        <w:rPr>
          <w:rFonts w:hint="eastAsia" w:eastAsiaTheme="minorEastAsia"/>
          <w:b/>
          <w:bCs/>
          <w:lang w:eastAsia="zh-CN"/>
        </w:rPr>
      </w:pPr>
      <w:r>
        <w:rPr>
          <w:rFonts w:hint="eastAsia"/>
          <w:b/>
          <w:bCs/>
        </w:rPr>
        <w:t>四、</w:t>
      </w:r>
      <w:r>
        <w:rPr>
          <w:rFonts w:hint="eastAsia"/>
          <w:b/>
          <w:bCs/>
          <w:lang w:eastAsia="zh-CN"/>
        </w:rPr>
        <w:t>考试及录取</w:t>
      </w:r>
    </w:p>
    <w:p>
      <w:pPr>
        <w:spacing w:line="360" w:lineRule="auto"/>
        <w:rPr>
          <w:rFonts w:hint="eastAsia"/>
        </w:rPr>
      </w:pPr>
      <w:r>
        <w:rPr>
          <w:rFonts w:hint="eastAsia"/>
          <w:lang w:eastAsia="zh-CN"/>
        </w:rPr>
        <w:t>（一）</w:t>
      </w:r>
      <w:r>
        <w:rPr>
          <w:rFonts w:hint="eastAsia"/>
        </w:rPr>
        <w:t xml:space="preserve">初试 </w:t>
      </w:r>
    </w:p>
    <w:p>
      <w:pPr>
        <w:spacing w:line="360" w:lineRule="auto"/>
        <w:ind w:firstLine="420" w:firstLineChars="200"/>
        <w:rPr>
          <w:rFonts w:hint="eastAsia"/>
        </w:rPr>
      </w:pPr>
      <w:r>
        <w:rPr>
          <w:rFonts w:hint="eastAsia"/>
        </w:rPr>
        <w:t xml:space="preserve">考生凭下载打印的《准考证》及居民身份证参加初试。全国统一初试时间：2020 年 12 月 26日（上午 8:30—11：30，下午 14:00—17:00）。 </w:t>
      </w:r>
    </w:p>
    <w:p>
      <w:pPr>
        <w:spacing w:line="360" w:lineRule="auto"/>
        <w:ind w:firstLine="420" w:firstLineChars="200"/>
        <w:rPr>
          <w:rFonts w:hint="eastAsia"/>
        </w:rPr>
      </w:pPr>
      <w:r>
        <w:rPr>
          <w:rFonts w:hint="eastAsia"/>
        </w:rPr>
        <w:t>初试科目：英语二、管理类联考综合能力，共计2门。</w:t>
      </w:r>
    </w:p>
    <w:p>
      <w:pPr>
        <w:spacing w:line="360" w:lineRule="auto"/>
        <w:ind w:firstLine="420" w:firstLineChars="200"/>
        <w:rPr>
          <w:rFonts w:hint="eastAsia"/>
        </w:rPr>
      </w:pPr>
      <w:r>
        <w:rPr>
          <w:rFonts w:hint="eastAsia"/>
        </w:rPr>
        <w:t xml:space="preserve">初试成绩由考生自行在北京交通大学研究生院招生专题网（网址http://gs.bjtu.edu.cn/cms/zszt/）查询并下载打印，我校不寄发纸质成绩单。 </w:t>
      </w:r>
    </w:p>
    <w:p>
      <w:pPr>
        <w:numPr>
          <w:ilvl w:val="0"/>
          <w:numId w:val="1"/>
        </w:numPr>
        <w:spacing w:line="360" w:lineRule="auto"/>
        <w:rPr>
          <w:rFonts w:hint="eastAsia"/>
          <w:lang w:eastAsia="zh-CN"/>
        </w:rPr>
      </w:pPr>
      <w:r>
        <w:rPr>
          <w:rFonts w:hint="eastAsia"/>
          <w:lang w:eastAsia="zh-CN"/>
        </w:rPr>
        <w:t>复试</w:t>
      </w:r>
    </w:p>
    <w:p>
      <w:pPr>
        <w:numPr>
          <w:ilvl w:val="0"/>
          <w:numId w:val="0"/>
        </w:numPr>
        <w:spacing w:line="360" w:lineRule="auto"/>
        <w:ind w:firstLine="420" w:firstLineChars="200"/>
        <w:rPr>
          <w:rFonts w:hint="eastAsia"/>
          <w:lang w:eastAsia="zh-CN"/>
        </w:rPr>
      </w:pPr>
      <w:r>
        <w:rPr>
          <w:rFonts w:hint="eastAsia"/>
          <w:lang w:eastAsia="zh-CN"/>
        </w:rPr>
        <w:t>1. 满足我校复试要求的考生须在规定时间内参加复试，复试一般在3月中下旬~4月上旬进行，复试具体要求届时请登录我校研究生院招生专题网和学院网站进行查询。</w:t>
      </w:r>
    </w:p>
    <w:p>
      <w:pPr>
        <w:numPr>
          <w:ilvl w:val="0"/>
          <w:numId w:val="0"/>
        </w:numPr>
        <w:spacing w:line="360" w:lineRule="auto"/>
        <w:ind w:firstLine="420" w:firstLineChars="200"/>
        <w:rPr>
          <w:rFonts w:hint="eastAsia"/>
          <w:lang w:eastAsia="zh-CN"/>
        </w:rPr>
      </w:pPr>
      <w:r>
        <w:rPr>
          <w:rFonts w:hint="eastAsia"/>
          <w:lang w:eastAsia="zh-CN"/>
        </w:rPr>
        <w:t>2. 复试阶段，我校将对考生进行资格审核，考生须提交有效居民身份证、学历学位证书（或学生证）、本科期间学习成绩单、政审表及学院要求的其他材料。</w:t>
      </w:r>
    </w:p>
    <w:p>
      <w:pPr>
        <w:numPr>
          <w:ilvl w:val="0"/>
          <w:numId w:val="0"/>
        </w:numPr>
        <w:spacing w:line="360" w:lineRule="auto"/>
        <w:ind w:firstLine="420" w:firstLineChars="200"/>
        <w:rPr>
          <w:rFonts w:hint="eastAsia"/>
          <w:lang w:eastAsia="zh-CN"/>
        </w:rPr>
      </w:pPr>
      <w:r>
        <w:rPr>
          <w:rFonts w:hint="eastAsia"/>
          <w:lang w:eastAsia="zh-CN"/>
        </w:rPr>
        <w:t>3. 报考工商管理（125100）的同等学力人员可以不加试。</w:t>
      </w:r>
    </w:p>
    <w:p>
      <w:pPr>
        <w:numPr>
          <w:ilvl w:val="0"/>
          <w:numId w:val="0"/>
        </w:numPr>
        <w:spacing w:line="360" w:lineRule="auto"/>
        <w:ind w:firstLine="420" w:firstLineChars="200"/>
        <w:rPr>
          <w:rFonts w:hint="eastAsia"/>
          <w:lang w:eastAsia="zh-CN"/>
        </w:rPr>
      </w:pPr>
      <w:r>
        <w:rPr>
          <w:rFonts w:hint="eastAsia"/>
          <w:lang w:eastAsia="zh-CN"/>
        </w:rPr>
        <w:t>4. 125100工商管理专业的考生，思想政治理论考试在复试中进行，考试成绩计入复试成绩。</w:t>
      </w:r>
    </w:p>
    <w:p>
      <w:pPr>
        <w:numPr>
          <w:ilvl w:val="0"/>
          <w:numId w:val="0"/>
        </w:numPr>
        <w:spacing w:line="360" w:lineRule="auto"/>
        <w:ind w:firstLine="420" w:firstLineChars="200"/>
        <w:rPr>
          <w:rFonts w:hint="eastAsia"/>
          <w:lang w:eastAsia="zh-CN"/>
        </w:rPr>
      </w:pPr>
      <w:r>
        <w:rPr>
          <w:rFonts w:hint="eastAsia"/>
          <w:lang w:eastAsia="zh-CN"/>
        </w:rPr>
        <w:t>5. 根据《北京市发展和改革委员会 北京市财政局关于部分高等教育招生考试收费标准的函》（京发改[2012]1358号），参加复试考生每人需交纳复试费100元。</w:t>
      </w:r>
    </w:p>
    <w:p>
      <w:pPr>
        <w:spacing w:line="360" w:lineRule="auto"/>
        <w:rPr>
          <w:rFonts w:hint="eastAsia"/>
        </w:rPr>
      </w:pPr>
      <w:r>
        <w:rPr>
          <w:rFonts w:hint="eastAsia"/>
        </w:rPr>
        <w:t>（三）体检及政审</w:t>
      </w:r>
    </w:p>
    <w:p>
      <w:pPr>
        <w:spacing w:line="360" w:lineRule="auto"/>
        <w:ind w:firstLine="420" w:firstLineChars="200"/>
        <w:rPr>
          <w:rFonts w:hint="eastAsia"/>
        </w:rPr>
      </w:pPr>
      <w:r>
        <w:rPr>
          <w:rFonts w:hint="eastAsia"/>
        </w:rPr>
        <w:t>1. 体检在考生拟录取后进行。我校参照教育部卫生部中国残联印发的《普通高等学校招生体检工作指导意见》（教学[2003]3号）和《教育部办公厅卫生部办公厅关于普通高等学校招生学生入学身体检查取消乙肝项目检测有关问题的通知》（教学厅[2010]2号）的规定执行。</w:t>
      </w:r>
    </w:p>
    <w:p>
      <w:pPr>
        <w:spacing w:line="360" w:lineRule="auto"/>
        <w:ind w:firstLine="420" w:firstLineChars="200"/>
        <w:rPr>
          <w:rFonts w:hint="eastAsia"/>
        </w:rPr>
      </w:pPr>
      <w:r>
        <w:rPr>
          <w:rFonts w:hint="eastAsia"/>
        </w:rPr>
        <w:t>2. 复试时不仅对考生进行思想政治素质和品德考核，还将结合其学习工作单位的政审意见进行评价，政审不合格者，不予录取。</w:t>
      </w:r>
    </w:p>
    <w:p>
      <w:pPr>
        <w:spacing w:line="360" w:lineRule="auto"/>
        <w:rPr>
          <w:rFonts w:hint="eastAsia"/>
        </w:rPr>
      </w:pPr>
      <w:r>
        <w:rPr>
          <w:rFonts w:hint="eastAsia"/>
        </w:rPr>
        <w:t>（四）录取</w:t>
      </w:r>
    </w:p>
    <w:p>
      <w:pPr>
        <w:spacing w:line="360" w:lineRule="auto"/>
        <w:ind w:firstLine="420" w:firstLineChars="200"/>
        <w:rPr>
          <w:rFonts w:hint="eastAsia"/>
        </w:rPr>
      </w:pPr>
      <w:r>
        <w:rPr>
          <w:rFonts w:hint="eastAsia"/>
        </w:rPr>
        <w:t>学校根据考生的初试成绩、复试成绩，综合考察其平时学习成绩、思想政治素质和品德、业务素质以及健康状况择优确定录取名单。</w:t>
      </w:r>
    </w:p>
    <w:p>
      <w:pPr>
        <w:spacing w:line="360" w:lineRule="auto"/>
        <w:rPr>
          <w:rFonts w:hint="eastAsia"/>
          <w:b/>
          <w:bCs/>
        </w:rPr>
      </w:pPr>
      <w:r>
        <w:rPr>
          <w:rFonts w:hint="eastAsia"/>
          <w:b/>
          <w:bCs/>
        </w:rPr>
        <w:t>五、其他事项</w:t>
      </w:r>
    </w:p>
    <w:p>
      <w:pPr>
        <w:spacing w:line="360" w:lineRule="auto"/>
        <w:rPr>
          <w:rFonts w:hint="eastAsia"/>
        </w:rPr>
      </w:pPr>
      <w:r>
        <w:rPr>
          <w:rFonts w:hint="eastAsia"/>
        </w:rPr>
        <w:t>（一）修业年限</w:t>
      </w:r>
    </w:p>
    <w:p>
      <w:pPr>
        <w:spacing w:line="360" w:lineRule="auto"/>
        <w:ind w:firstLine="420" w:firstLineChars="200"/>
        <w:rPr>
          <w:rFonts w:hint="eastAsia"/>
        </w:rPr>
      </w:pPr>
      <w:r>
        <w:rPr>
          <w:rFonts w:hint="eastAsia"/>
        </w:rPr>
        <w:t>专业学位硕士研究生基本修业年限一般为2年。全日制硕士生延长期限（含休学和保留学籍）在基本修业年限外不超过2年；非全日制专业学位硕士生最长学习年限（含休学和保留学籍）不超过5年。</w:t>
      </w:r>
    </w:p>
    <w:p>
      <w:pPr>
        <w:spacing w:line="360" w:lineRule="auto"/>
        <w:rPr>
          <w:rFonts w:hint="eastAsia"/>
        </w:rPr>
      </w:pPr>
      <w:r>
        <w:rPr>
          <w:rFonts w:hint="eastAsia"/>
        </w:rPr>
        <w:t>（二）学费和奖助学金</w:t>
      </w:r>
    </w:p>
    <w:p>
      <w:pPr>
        <w:spacing w:line="360" w:lineRule="auto"/>
        <w:ind w:firstLine="420" w:firstLineChars="200"/>
        <w:rPr>
          <w:rFonts w:hint="eastAsia"/>
        </w:rPr>
      </w:pPr>
      <w:r>
        <w:rPr>
          <w:rFonts w:hint="eastAsia"/>
        </w:rPr>
        <w:t>我校按照国家和北京市的规定收取学费，学费标准见表一，同时向符合政策的学生发放国家助学金。符合条件的研究生可申请评选国家奖学金、学业奖学金（标准见表</w:t>
      </w:r>
      <w:r>
        <w:rPr>
          <w:rFonts w:hint="eastAsia"/>
          <w:lang w:eastAsia="zh-CN"/>
        </w:rPr>
        <w:t>二</w:t>
      </w:r>
      <w:r>
        <w:rPr>
          <w:rFonts w:hint="eastAsia"/>
        </w:rPr>
        <w:t>）以及其他专项奖学金。另外设置“助教”、“助管”和“助研”岗位（统称为“三助”岗位），经双向选择承担“三助”岗位的研究生，可以获得相应的岗位津贴。</w:t>
      </w:r>
    </w:p>
    <w:p>
      <w:pPr>
        <w:pStyle w:val="2"/>
        <w:spacing w:before="149" w:line="417" w:lineRule="auto"/>
        <w:ind w:right="457" w:firstLine="405"/>
        <w:jc w:val="center"/>
        <w:rPr>
          <w:rFonts w:hint="eastAsia"/>
          <w:color w:val="333333"/>
          <w:spacing w:val="-3"/>
        </w:rPr>
      </w:pPr>
      <w:r>
        <w:rPr>
          <w:rFonts w:hint="eastAsia"/>
          <w:color w:val="333333"/>
          <w:spacing w:val="-3"/>
        </w:rPr>
        <w:t>表一：20</w:t>
      </w:r>
      <w:r>
        <w:rPr>
          <w:rFonts w:hint="eastAsia"/>
          <w:color w:val="333333"/>
          <w:spacing w:val="-3"/>
          <w:lang w:val="en-US" w:eastAsia="zh-CN"/>
        </w:rPr>
        <w:t>21</w:t>
      </w:r>
      <w:r>
        <w:rPr>
          <w:rFonts w:hint="eastAsia"/>
          <w:color w:val="333333"/>
          <w:spacing w:val="-3"/>
        </w:rPr>
        <w:t>年北京交通大学工商管理硕士（MBA）招生人数及学费标准</w:t>
      </w:r>
    </w:p>
    <w:p>
      <w:pPr>
        <w:spacing w:after="0"/>
        <w:jc w:val="both"/>
      </w:pPr>
    </w:p>
    <w:tbl>
      <w:tblPr>
        <w:tblStyle w:val="3"/>
        <w:tblW w:w="931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35"/>
        <w:gridCol w:w="934"/>
        <w:gridCol w:w="1655"/>
        <w:gridCol w:w="1290"/>
        <w:gridCol w:w="1140"/>
        <w:gridCol w:w="1050"/>
        <w:gridCol w:w="140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6" w:hRule="atLeast"/>
          <w:jc w:val="center"/>
        </w:trPr>
        <w:tc>
          <w:tcPr>
            <w:tcW w:w="1835"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6"/>
              <w:keepNext w:val="0"/>
              <w:keepLines w:val="0"/>
              <w:pageBreakBefore w:val="0"/>
              <w:widowControl w:val="0"/>
              <w:kinsoku/>
              <w:wordWrap/>
              <w:overflowPunct/>
              <w:topLinePunct w:val="0"/>
              <w:autoSpaceDE w:val="0"/>
              <w:autoSpaceDN w:val="0"/>
              <w:bidi w:val="0"/>
              <w:adjustRightInd/>
              <w:snapToGrid/>
              <w:spacing w:before="162"/>
              <w:ind w:left="0" w:leftChars="0" w:right="0"/>
              <w:jc w:val="center"/>
              <w:textAlignment w:val="auto"/>
              <w:rPr>
                <w:rFonts w:hint="eastAsia"/>
                <w:b/>
                <w:color w:val="FFFFFF"/>
                <w:sz w:val="20"/>
                <w:szCs w:val="21"/>
                <w:lang w:eastAsia="zh-CN"/>
              </w:rPr>
            </w:pPr>
            <w:r>
              <w:rPr>
                <w:rFonts w:hint="eastAsia"/>
                <w:b/>
                <w:color w:val="FFFFFF"/>
                <w:sz w:val="20"/>
                <w:szCs w:val="21"/>
                <w:lang w:eastAsia="zh-CN"/>
              </w:rPr>
              <w:t>网报研究方向</w:t>
            </w:r>
          </w:p>
        </w:tc>
        <w:tc>
          <w:tcPr>
            <w:tcW w:w="934"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6"/>
              <w:keepNext w:val="0"/>
              <w:keepLines w:val="0"/>
              <w:pageBreakBefore w:val="0"/>
              <w:widowControl w:val="0"/>
              <w:kinsoku/>
              <w:wordWrap/>
              <w:overflowPunct/>
              <w:topLinePunct w:val="0"/>
              <w:autoSpaceDE w:val="0"/>
              <w:autoSpaceDN w:val="0"/>
              <w:bidi w:val="0"/>
              <w:adjustRightInd/>
              <w:snapToGrid/>
              <w:spacing w:before="162"/>
              <w:ind w:left="0" w:leftChars="0" w:right="0"/>
              <w:jc w:val="center"/>
              <w:textAlignment w:val="auto"/>
              <w:rPr>
                <w:rFonts w:hint="eastAsia" w:eastAsia="宋体"/>
                <w:b/>
                <w:color w:val="FFFFFF"/>
                <w:sz w:val="20"/>
                <w:szCs w:val="21"/>
                <w:lang w:eastAsia="zh-CN"/>
              </w:rPr>
            </w:pPr>
            <w:r>
              <w:rPr>
                <w:rFonts w:hint="eastAsia"/>
                <w:b/>
                <w:color w:val="FFFFFF"/>
                <w:sz w:val="20"/>
                <w:szCs w:val="21"/>
                <w:lang w:eastAsia="zh-CN"/>
              </w:rPr>
              <w:t>学习方式</w:t>
            </w:r>
          </w:p>
        </w:tc>
        <w:tc>
          <w:tcPr>
            <w:tcW w:w="1655"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6"/>
              <w:keepNext w:val="0"/>
              <w:keepLines w:val="0"/>
              <w:pageBreakBefore w:val="0"/>
              <w:widowControl w:val="0"/>
              <w:kinsoku/>
              <w:wordWrap/>
              <w:overflowPunct/>
              <w:topLinePunct w:val="0"/>
              <w:autoSpaceDE w:val="0"/>
              <w:autoSpaceDN w:val="0"/>
              <w:bidi w:val="0"/>
              <w:adjustRightInd/>
              <w:snapToGrid/>
              <w:spacing w:before="162"/>
              <w:ind w:left="0" w:leftChars="0" w:right="0"/>
              <w:jc w:val="center"/>
              <w:textAlignment w:val="auto"/>
              <w:rPr>
                <w:rFonts w:hint="eastAsia" w:eastAsia="宋体"/>
                <w:b/>
                <w:color w:val="FFFFFF"/>
                <w:sz w:val="20"/>
                <w:szCs w:val="21"/>
                <w:lang w:eastAsia="zh-CN"/>
              </w:rPr>
            </w:pPr>
            <w:r>
              <w:rPr>
                <w:rFonts w:hint="eastAsia"/>
                <w:b/>
                <w:color w:val="FFFFFF"/>
                <w:sz w:val="20"/>
                <w:szCs w:val="21"/>
                <w:lang w:eastAsia="zh-CN"/>
              </w:rPr>
              <w:t>学费（人民币）</w:t>
            </w:r>
          </w:p>
        </w:tc>
        <w:tc>
          <w:tcPr>
            <w:tcW w:w="1290"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6"/>
              <w:keepNext w:val="0"/>
              <w:keepLines w:val="0"/>
              <w:pageBreakBefore w:val="0"/>
              <w:widowControl w:val="0"/>
              <w:kinsoku/>
              <w:wordWrap/>
              <w:overflowPunct/>
              <w:topLinePunct w:val="0"/>
              <w:autoSpaceDE w:val="0"/>
              <w:autoSpaceDN w:val="0"/>
              <w:bidi w:val="0"/>
              <w:adjustRightInd/>
              <w:snapToGrid/>
              <w:spacing w:before="162"/>
              <w:ind w:left="0" w:leftChars="0" w:right="0"/>
              <w:jc w:val="center"/>
              <w:textAlignment w:val="auto"/>
              <w:rPr>
                <w:rFonts w:hint="eastAsia" w:eastAsia="宋体"/>
                <w:b/>
                <w:color w:val="FFFFFF"/>
                <w:sz w:val="20"/>
                <w:szCs w:val="21"/>
                <w:lang w:val="en-US" w:eastAsia="zh-CN"/>
              </w:rPr>
            </w:pPr>
            <w:r>
              <w:rPr>
                <w:rFonts w:hint="eastAsia"/>
                <w:b/>
                <w:color w:val="FFFFFF"/>
                <w:sz w:val="20"/>
                <w:szCs w:val="21"/>
                <w:lang w:val="en-US" w:eastAsia="zh-CN"/>
              </w:rPr>
              <w:t>报考类别</w:t>
            </w:r>
          </w:p>
        </w:tc>
        <w:tc>
          <w:tcPr>
            <w:tcW w:w="1140"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6"/>
              <w:keepNext w:val="0"/>
              <w:keepLines w:val="0"/>
              <w:pageBreakBefore w:val="0"/>
              <w:widowControl w:val="0"/>
              <w:kinsoku/>
              <w:wordWrap/>
              <w:overflowPunct/>
              <w:topLinePunct w:val="0"/>
              <w:autoSpaceDE w:val="0"/>
              <w:autoSpaceDN w:val="0"/>
              <w:bidi w:val="0"/>
              <w:adjustRightInd/>
              <w:snapToGrid/>
              <w:spacing w:before="162"/>
              <w:ind w:left="0" w:leftChars="0" w:right="0"/>
              <w:jc w:val="center"/>
              <w:textAlignment w:val="auto"/>
              <w:rPr>
                <w:rFonts w:hint="eastAsia" w:eastAsia="宋体"/>
                <w:b/>
                <w:color w:val="FFFFFF"/>
                <w:sz w:val="20"/>
                <w:szCs w:val="21"/>
                <w:lang w:eastAsia="zh-CN"/>
              </w:rPr>
            </w:pPr>
            <w:r>
              <w:rPr>
                <w:rFonts w:hint="eastAsia"/>
                <w:b/>
                <w:color w:val="FFFFFF"/>
                <w:sz w:val="20"/>
                <w:szCs w:val="21"/>
                <w:lang w:eastAsia="zh-CN"/>
              </w:rPr>
              <w:t>拟招生人数</w:t>
            </w:r>
          </w:p>
        </w:tc>
        <w:tc>
          <w:tcPr>
            <w:tcW w:w="1050"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6"/>
              <w:keepNext w:val="0"/>
              <w:keepLines w:val="0"/>
              <w:pageBreakBefore w:val="0"/>
              <w:widowControl w:val="0"/>
              <w:kinsoku/>
              <w:wordWrap/>
              <w:overflowPunct/>
              <w:topLinePunct w:val="0"/>
              <w:autoSpaceDE w:val="0"/>
              <w:autoSpaceDN w:val="0"/>
              <w:bidi w:val="0"/>
              <w:adjustRightInd/>
              <w:snapToGrid/>
              <w:spacing w:before="162"/>
              <w:ind w:left="0" w:leftChars="0" w:right="0"/>
              <w:jc w:val="center"/>
              <w:textAlignment w:val="auto"/>
              <w:rPr>
                <w:rFonts w:hint="eastAsia"/>
                <w:b/>
                <w:color w:val="FFFFFF"/>
                <w:sz w:val="20"/>
                <w:szCs w:val="21"/>
                <w:lang w:eastAsia="zh-CN"/>
              </w:rPr>
            </w:pPr>
            <w:r>
              <w:rPr>
                <w:rFonts w:hint="eastAsia"/>
                <w:b/>
                <w:color w:val="FFFFFF"/>
                <w:sz w:val="20"/>
                <w:szCs w:val="21"/>
                <w:lang w:eastAsia="zh-CN"/>
              </w:rPr>
              <w:t>奖学金</w:t>
            </w:r>
          </w:p>
        </w:tc>
        <w:tc>
          <w:tcPr>
            <w:tcW w:w="1408"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6"/>
              <w:keepNext w:val="0"/>
              <w:keepLines w:val="0"/>
              <w:pageBreakBefore w:val="0"/>
              <w:widowControl w:val="0"/>
              <w:kinsoku/>
              <w:wordWrap/>
              <w:overflowPunct/>
              <w:topLinePunct w:val="0"/>
              <w:autoSpaceDE w:val="0"/>
              <w:autoSpaceDN w:val="0"/>
              <w:bidi w:val="0"/>
              <w:adjustRightInd/>
              <w:snapToGrid/>
              <w:spacing w:before="162"/>
              <w:ind w:left="0" w:leftChars="0" w:right="0"/>
              <w:jc w:val="center"/>
              <w:textAlignment w:val="auto"/>
              <w:rPr>
                <w:rFonts w:hint="eastAsia" w:eastAsia="宋体"/>
                <w:b/>
                <w:color w:val="FFFFFF"/>
                <w:sz w:val="20"/>
                <w:szCs w:val="21"/>
                <w:lang w:eastAsia="zh-CN"/>
              </w:rPr>
            </w:pPr>
            <w:r>
              <w:rPr>
                <w:rFonts w:hint="eastAsia"/>
                <w:b/>
                <w:color w:val="FFFFFF"/>
                <w:sz w:val="20"/>
                <w:szCs w:val="21"/>
                <w:lang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1" w:hRule="atLeast"/>
          <w:jc w:val="center"/>
        </w:trPr>
        <w:tc>
          <w:tcPr>
            <w:tcW w:w="1835"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default" w:eastAsia="宋体"/>
                <w:color w:val="000000"/>
                <w:sz w:val="20"/>
                <w:szCs w:val="21"/>
                <w:lang w:val="en-US" w:eastAsia="zh-CN"/>
              </w:rPr>
            </w:pPr>
            <w:r>
              <w:rPr>
                <w:rFonts w:hint="eastAsia"/>
                <w:color w:val="000000"/>
                <w:sz w:val="20"/>
                <w:szCs w:val="21"/>
                <w:lang w:val="en-US" w:eastAsia="zh-CN"/>
              </w:rPr>
              <w:t>00 不区分研究方向</w:t>
            </w:r>
          </w:p>
        </w:tc>
        <w:tc>
          <w:tcPr>
            <w:tcW w:w="934"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0"/>
                <w:szCs w:val="21"/>
              </w:rPr>
            </w:pPr>
            <w:r>
              <w:rPr>
                <w:color w:val="000000"/>
                <w:sz w:val="20"/>
                <w:szCs w:val="21"/>
              </w:rPr>
              <w:t>全日制</w:t>
            </w:r>
          </w:p>
        </w:tc>
        <w:tc>
          <w:tcPr>
            <w:tcW w:w="1655"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spacing w:before="12"/>
              <w:ind w:left="0" w:leftChars="0" w:right="0"/>
              <w:jc w:val="center"/>
              <w:textAlignment w:val="auto"/>
              <w:rPr>
                <w:color w:val="000000"/>
                <w:sz w:val="20"/>
                <w:szCs w:val="21"/>
              </w:rPr>
            </w:pPr>
          </w:p>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0"/>
                <w:szCs w:val="21"/>
              </w:rPr>
            </w:pPr>
            <w:r>
              <w:rPr>
                <w:color w:val="000000"/>
                <w:sz w:val="20"/>
                <w:szCs w:val="21"/>
              </w:rPr>
              <w:t>4.1 万元/生·学年</w:t>
            </w:r>
          </w:p>
        </w:tc>
        <w:tc>
          <w:tcPr>
            <w:tcW w:w="1290"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color w:val="000000"/>
                <w:sz w:val="20"/>
                <w:szCs w:val="21"/>
              </w:rPr>
            </w:pPr>
            <w:r>
              <w:rPr>
                <w:rFonts w:hint="eastAsia"/>
                <w:color w:val="000000"/>
                <w:sz w:val="20"/>
                <w:szCs w:val="21"/>
              </w:rPr>
              <w:t>定向就业</w:t>
            </w:r>
          </w:p>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0"/>
                <w:szCs w:val="21"/>
              </w:rPr>
            </w:pPr>
            <w:r>
              <w:rPr>
                <w:rFonts w:hint="eastAsia"/>
                <w:color w:val="000000"/>
                <w:sz w:val="20"/>
                <w:szCs w:val="21"/>
              </w:rPr>
              <w:t>和非定向就业</w:t>
            </w:r>
          </w:p>
        </w:tc>
        <w:tc>
          <w:tcPr>
            <w:tcW w:w="1140"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0"/>
                <w:szCs w:val="21"/>
              </w:rPr>
            </w:pPr>
            <w:r>
              <w:rPr>
                <w:color w:val="000000"/>
                <w:sz w:val="20"/>
                <w:szCs w:val="21"/>
              </w:rPr>
              <w:t>50 人</w:t>
            </w:r>
          </w:p>
        </w:tc>
        <w:tc>
          <w:tcPr>
            <w:tcW w:w="1050"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color w:val="000000"/>
                <w:sz w:val="20"/>
                <w:szCs w:val="21"/>
                <w:lang w:eastAsia="zh-CN"/>
              </w:rPr>
            </w:pPr>
            <w:r>
              <w:rPr>
                <w:rFonts w:hint="eastAsia"/>
                <w:color w:val="000000"/>
                <w:sz w:val="20"/>
                <w:szCs w:val="21"/>
                <w:lang w:eastAsia="zh-CN"/>
              </w:rPr>
              <w:t>详见表二</w:t>
            </w:r>
          </w:p>
        </w:tc>
        <w:tc>
          <w:tcPr>
            <w:tcW w:w="1408"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eastAsia="宋体"/>
                <w:color w:val="000000"/>
                <w:sz w:val="20"/>
                <w:szCs w:val="21"/>
                <w:lang w:eastAsia="zh-CN"/>
              </w:rPr>
            </w:pPr>
            <w:r>
              <w:rPr>
                <w:rFonts w:hint="eastAsia"/>
                <w:color w:val="000000"/>
                <w:sz w:val="20"/>
                <w:szCs w:val="21"/>
                <w:lang w:eastAsia="zh-CN"/>
              </w:rPr>
              <w:t>知行班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1" w:hRule="atLeast"/>
          <w:jc w:val="center"/>
        </w:trPr>
        <w:tc>
          <w:tcPr>
            <w:tcW w:w="183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default" w:eastAsia="宋体"/>
                <w:color w:val="000000"/>
                <w:sz w:val="20"/>
                <w:szCs w:val="21"/>
                <w:lang w:val="en-US" w:eastAsia="zh-CN"/>
              </w:rPr>
            </w:pPr>
            <w:r>
              <w:rPr>
                <w:rFonts w:hint="eastAsia"/>
                <w:color w:val="000000"/>
                <w:sz w:val="20"/>
                <w:szCs w:val="21"/>
                <w:lang w:val="en-US" w:eastAsia="zh-CN"/>
              </w:rPr>
              <w:t>01 综合管理</w:t>
            </w:r>
          </w:p>
        </w:tc>
        <w:tc>
          <w:tcPr>
            <w:tcW w:w="934"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spacing w:before="1"/>
              <w:ind w:left="0" w:leftChars="0" w:right="0"/>
              <w:jc w:val="center"/>
              <w:textAlignment w:val="auto"/>
              <w:rPr>
                <w:color w:val="000000"/>
                <w:sz w:val="18"/>
                <w:szCs w:val="21"/>
              </w:rPr>
            </w:pPr>
          </w:p>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0"/>
                <w:szCs w:val="21"/>
              </w:rPr>
            </w:pPr>
            <w:r>
              <w:rPr>
                <w:color w:val="000000"/>
                <w:sz w:val="20"/>
                <w:szCs w:val="21"/>
              </w:rPr>
              <w:t>非全日制</w:t>
            </w:r>
          </w:p>
        </w:tc>
        <w:tc>
          <w:tcPr>
            <w:tcW w:w="165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spacing w:before="1"/>
              <w:ind w:left="0" w:leftChars="0" w:right="0"/>
              <w:jc w:val="center"/>
              <w:textAlignment w:val="auto"/>
              <w:rPr>
                <w:color w:val="000000"/>
                <w:sz w:val="18"/>
                <w:szCs w:val="21"/>
              </w:rPr>
            </w:pPr>
          </w:p>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0"/>
                <w:szCs w:val="21"/>
              </w:rPr>
            </w:pPr>
            <w:r>
              <w:rPr>
                <w:color w:val="000000"/>
                <w:sz w:val="20"/>
                <w:szCs w:val="21"/>
              </w:rPr>
              <w:t>6.3 万元/生·学年</w:t>
            </w:r>
          </w:p>
        </w:tc>
        <w:tc>
          <w:tcPr>
            <w:tcW w:w="1290" w:type="dxa"/>
            <w:vMerge w:val="restart"/>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color w:val="000000"/>
                <w:sz w:val="20"/>
                <w:szCs w:val="21"/>
                <w:lang w:val="en-US" w:eastAsia="zh-CN"/>
              </w:rPr>
            </w:pPr>
            <w:r>
              <w:rPr>
                <w:rFonts w:hint="eastAsia"/>
                <w:color w:val="000000"/>
                <w:sz w:val="20"/>
                <w:szCs w:val="21"/>
                <w:lang w:val="en-US" w:eastAsia="zh-CN"/>
              </w:rPr>
              <w:t>定向就业</w:t>
            </w:r>
          </w:p>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color w:val="000000"/>
                <w:sz w:val="20"/>
                <w:szCs w:val="21"/>
                <w:lang w:val="en-US" w:eastAsia="zh-CN"/>
              </w:rPr>
            </w:pPr>
            <w:r>
              <w:rPr>
                <w:rFonts w:hint="eastAsia"/>
                <w:color w:val="000000"/>
                <w:sz w:val="20"/>
                <w:szCs w:val="21"/>
                <w:lang w:val="en-US" w:eastAsia="zh-CN"/>
              </w:rPr>
              <w:t>（网报时非全日制报考类别必须选择“定向”。）</w:t>
            </w:r>
          </w:p>
        </w:tc>
        <w:tc>
          <w:tcPr>
            <w:tcW w:w="1140" w:type="dxa"/>
            <w:vMerge w:val="restart"/>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color w:val="000000"/>
                <w:sz w:val="20"/>
                <w:szCs w:val="21"/>
                <w:lang w:val="en-US" w:eastAsia="zh-CN"/>
              </w:rPr>
            </w:pPr>
          </w:p>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0"/>
                <w:szCs w:val="21"/>
              </w:rPr>
            </w:pPr>
            <w:r>
              <w:rPr>
                <w:rFonts w:hint="eastAsia"/>
                <w:color w:val="000000"/>
                <w:sz w:val="20"/>
                <w:szCs w:val="21"/>
                <w:lang w:val="en-US" w:eastAsia="zh-CN"/>
              </w:rPr>
              <w:t>192</w:t>
            </w:r>
            <w:r>
              <w:rPr>
                <w:color w:val="000000"/>
                <w:sz w:val="20"/>
                <w:szCs w:val="21"/>
              </w:rPr>
              <w:t xml:space="preserve"> 人</w:t>
            </w:r>
          </w:p>
        </w:tc>
        <w:tc>
          <w:tcPr>
            <w:tcW w:w="1050" w:type="dxa"/>
            <w:vMerge w:val="restart"/>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color w:val="000000"/>
                <w:sz w:val="20"/>
                <w:szCs w:val="21"/>
                <w:lang w:eastAsia="zh-CN"/>
              </w:rPr>
            </w:pPr>
            <w:r>
              <w:rPr>
                <w:rFonts w:hint="eastAsia"/>
                <w:color w:val="000000"/>
                <w:sz w:val="20"/>
                <w:szCs w:val="21"/>
                <w:lang w:eastAsia="zh-CN"/>
              </w:rPr>
              <w:t>详见表三</w:t>
            </w:r>
          </w:p>
        </w:tc>
        <w:tc>
          <w:tcPr>
            <w:tcW w:w="1408"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eastAsia="宋体"/>
                <w:color w:val="000000"/>
                <w:sz w:val="20"/>
                <w:szCs w:val="21"/>
                <w:lang w:eastAsia="zh-CN"/>
              </w:rPr>
            </w:pPr>
            <w:r>
              <w:rPr>
                <w:rFonts w:hint="eastAsia"/>
                <w:color w:val="000000"/>
                <w:sz w:val="20"/>
                <w:szCs w:val="21"/>
                <w:lang w:eastAsia="zh-CN"/>
              </w:rPr>
              <w:t>包含思源集中班和思源周末班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6" w:hRule="atLeast"/>
          <w:jc w:val="center"/>
        </w:trPr>
        <w:tc>
          <w:tcPr>
            <w:tcW w:w="183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spacing w:before="1"/>
              <w:ind w:left="0" w:leftChars="0" w:right="0"/>
              <w:jc w:val="center"/>
              <w:textAlignment w:val="auto"/>
              <w:rPr>
                <w:rFonts w:hint="default" w:eastAsia="宋体"/>
                <w:color w:val="000000"/>
                <w:sz w:val="20"/>
                <w:szCs w:val="21"/>
                <w:lang w:val="en-US" w:eastAsia="zh-CN"/>
              </w:rPr>
            </w:pPr>
            <w:r>
              <w:rPr>
                <w:rFonts w:hint="eastAsia"/>
                <w:color w:val="000000"/>
                <w:sz w:val="20"/>
                <w:szCs w:val="21"/>
                <w:lang w:val="en-US" w:eastAsia="zh-CN"/>
              </w:rPr>
              <w:t>02 国际MBA</w:t>
            </w:r>
          </w:p>
        </w:tc>
        <w:tc>
          <w:tcPr>
            <w:tcW w:w="934"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spacing w:before="11"/>
              <w:ind w:left="0" w:leftChars="0" w:right="0"/>
              <w:jc w:val="center"/>
              <w:textAlignment w:val="auto"/>
              <w:rPr>
                <w:color w:val="000000"/>
                <w:sz w:val="18"/>
                <w:szCs w:val="21"/>
              </w:rPr>
            </w:pPr>
          </w:p>
          <w:p>
            <w:pPr>
              <w:pStyle w:val="6"/>
              <w:keepNext w:val="0"/>
              <w:keepLines w:val="0"/>
              <w:pageBreakBefore w:val="0"/>
              <w:widowControl w:val="0"/>
              <w:kinsoku/>
              <w:wordWrap/>
              <w:overflowPunct/>
              <w:topLinePunct w:val="0"/>
              <w:autoSpaceDE w:val="0"/>
              <w:autoSpaceDN w:val="0"/>
              <w:bidi w:val="0"/>
              <w:adjustRightInd/>
              <w:snapToGrid/>
              <w:spacing w:before="1"/>
              <w:ind w:left="0" w:leftChars="0" w:right="0"/>
              <w:jc w:val="center"/>
              <w:textAlignment w:val="auto"/>
              <w:rPr>
                <w:color w:val="000000"/>
                <w:sz w:val="20"/>
                <w:szCs w:val="21"/>
              </w:rPr>
            </w:pPr>
            <w:r>
              <w:rPr>
                <w:color w:val="000000"/>
                <w:sz w:val="20"/>
                <w:szCs w:val="21"/>
              </w:rPr>
              <w:t>非全日制</w:t>
            </w:r>
          </w:p>
        </w:tc>
        <w:tc>
          <w:tcPr>
            <w:tcW w:w="165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spacing w:before="111"/>
              <w:ind w:left="0" w:leftChars="0" w:right="0"/>
              <w:jc w:val="center"/>
              <w:textAlignment w:val="auto"/>
              <w:rPr>
                <w:color w:val="000000"/>
                <w:sz w:val="20"/>
                <w:szCs w:val="21"/>
              </w:rPr>
            </w:pPr>
            <w:r>
              <w:rPr>
                <w:color w:val="000000"/>
                <w:sz w:val="20"/>
                <w:szCs w:val="21"/>
              </w:rPr>
              <w:t>6.3 万元/生·学年</w:t>
            </w:r>
          </w:p>
        </w:tc>
        <w:tc>
          <w:tcPr>
            <w:tcW w:w="1290"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
                <w:szCs w:val="2"/>
              </w:rPr>
            </w:pPr>
          </w:p>
        </w:tc>
        <w:tc>
          <w:tcPr>
            <w:tcW w:w="1140"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
                <w:szCs w:val="2"/>
              </w:rPr>
            </w:pPr>
          </w:p>
        </w:tc>
        <w:tc>
          <w:tcPr>
            <w:tcW w:w="1050"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eastAsia="宋体"/>
                <w:color w:val="000000"/>
                <w:sz w:val="2"/>
                <w:szCs w:val="2"/>
                <w:lang w:val="en-US" w:eastAsia="zh-CN"/>
              </w:rPr>
            </w:pPr>
          </w:p>
        </w:tc>
        <w:tc>
          <w:tcPr>
            <w:tcW w:w="1408" w:type="dxa"/>
            <w:tcBorders>
              <w:top w:val="single" w:color="C0504D" w:sz="8" w:space="0"/>
              <w:left w:val="single" w:color="C0504D" w:sz="8" w:space="0"/>
              <w:bottom w:val="single" w:color="C0504D" w:sz="8" w:space="0"/>
              <w:right w:val="single" w:color="C0504D" w:sz="8"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default" w:ascii="宋体" w:hAnsi="宋体" w:eastAsia="宋体" w:cs="宋体"/>
                <w:color w:val="000000"/>
                <w:sz w:val="20"/>
                <w:szCs w:val="21"/>
                <w:lang w:val="en-US" w:eastAsia="zh-CN" w:bidi="zh-CN"/>
              </w:rPr>
            </w:pPr>
            <w:r>
              <w:rPr>
                <w:rFonts w:hint="eastAsia" w:cs="宋体"/>
                <w:color w:val="000000"/>
                <w:sz w:val="20"/>
                <w:szCs w:val="21"/>
                <w:lang w:val="en-US" w:eastAsia="zh-CN" w:bidi="zh-CN"/>
              </w:rPr>
              <w:t>国际班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1" w:hRule="atLeast"/>
          <w:jc w:val="center"/>
        </w:trPr>
        <w:tc>
          <w:tcPr>
            <w:tcW w:w="183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default" w:eastAsia="宋体"/>
                <w:color w:val="000000"/>
                <w:sz w:val="20"/>
                <w:szCs w:val="21"/>
                <w:lang w:val="en-US" w:eastAsia="zh-CN"/>
              </w:rPr>
            </w:pPr>
            <w:r>
              <w:rPr>
                <w:rFonts w:hint="eastAsia"/>
                <w:color w:val="000000"/>
                <w:sz w:val="20"/>
                <w:szCs w:val="21"/>
                <w:lang w:val="en-US" w:eastAsia="zh-CN"/>
              </w:rPr>
              <w:t>03 智慧交通与物流MBA</w:t>
            </w:r>
          </w:p>
        </w:tc>
        <w:tc>
          <w:tcPr>
            <w:tcW w:w="934"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spacing w:before="1"/>
              <w:ind w:left="0" w:leftChars="0" w:right="0"/>
              <w:jc w:val="center"/>
              <w:textAlignment w:val="auto"/>
              <w:rPr>
                <w:color w:val="000000"/>
                <w:sz w:val="18"/>
                <w:szCs w:val="21"/>
              </w:rPr>
            </w:pPr>
          </w:p>
          <w:p>
            <w:pPr>
              <w:pStyle w:val="6"/>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0"/>
                <w:szCs w:val="21"/>
              </w:rPr>
            </w:pPr>
            <w:r>
              <w:rPr>
                <w:color w:val="000000"/>
                <w:sz w:val="20"/>
                <w:szCs w:val="21"/>
              </w:rPr>
              <w:t>非全日制</w:t>
            </w:r>
          </w:p>
        </w:tc>
        <w:tc>
          <w:tcPr>
            <w:tcW w:w="165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6"/>
              <w:keepNext w:val="0"/>
              <w:keepLines w:val="0"/>
              <w:pageBreakBefore w:val="0"/>
              <w:widowControl w:val="0"/>
              <w:kinsoku/>
              <w:wordWrap/>
              <w:overflowPunct/>
              <w:topLinePunct w:val="0"/>
              <w:autoSpaceDE w:val="0"/>
              <w:autoSpaceDN w:val="0"/>
              <w:bidi w:val="0"/>
              <w:adjustRightInd/>
              <w:snapToGrid/>
              <w:spacing w:before="111"/>
              <w:ind w:left="0" w:leftChars="0" w:right="0"/>
              <w:jc w:val="center"/>
              <w:textAlignment w:val="auto"/>
              <w:rPr>
                <w:rFonts w:hint="default" w:eastAsia="宋体"/>
                <w:color w:val="000000"/>
                <w:sz w:val="20"/>
                <w:szCs w:val="21"/>
                <w:lang w:val="en-US" w:eastAsia="zh-CN"/>
              </w:rPr>
            </w:pPr>
            <w:r>
              <w:rPr>
                <w:rFonts w:hint="eastAsia"/>
                <w:color w:val="000000"/>
                <w:sz w:val="20"/>
                <w:szCs w:val="21"/>
                <w:lang w:val="en-US" w:eastAsia="zh-CN"/>
              </w:rPr>
              <w:t>7.9</w:t>
            </w:r>
            <w:r>
              <w:rPr>
                <w:color w:val="000000"/>
                <w:sz w:val="20"/>
                <w:szCs w:val="21"/>
              </w:rPr>
              <w:t xml:space="preserve"> 万元/生·学年</w:t>
            </w:r>
          </w:p>
        </w:tc>
        <w:tc>
          <w:tcPr>
            <w:tcW w:w="1290"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
                <w:szCs w:val="2"/>
              </w:rPr>
            </w:pPr>
          </w:p>
        </w:tc>
        <w:tc>
          <w:tcPr>
            <w:tcW w:w="1140"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color w:val="000000"/>
                <w:sz w:val="2"/>
                <w:szCs w:val="2"/>
              </w:rPr>
            </w:pPr>
          </w:p>
        </w:tc>
        <w:tc>
          <w:tcPr>
            <w:tcW w:w="1050"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ascii="宋体" w:hAnsi="宋体" w:eastAsia="宋体" w:cs="宋体"/>
                <w:color w:val="000000"/>
                <w:sz w:val="20"/>
                <w:szCs w:val="21"/>
                <w:lang w:val="zh-CN" w:eastAsia="zh-CN" w:bidi="zh-CN"/>
              </w:rPr>
            </w:pPr>
          </w:p>
        </w:tc>
        <w:tc>
          <w:tcPr>
            <w:tcW w:w="1408" w:type="dxa"/>
            <w:tcBorders>
              <w:top w:val="single" w:color="C0504D" w:sz="8" w:space="0"/>
              <w:left w:val="single" w:color="C0504D" w:sz="8" w:space="0"/>
              <w:bottom w:val="single" w:color="C0504D" w:sz="8" w:space="0"/>
              <w:right w:val="single" w:color="C0504D" w:sz="8" w:space="0"/>
            </w:tcBorders>
            <w:shd w:val="clear" w:color="auto" w:fill="auto"/>
            <w:vAlign w:val="center"/>
          </w:tcPr>
          <w:p>
            <w:pPr>
              <w:keepNext w:val="0"/>
              <w:keepLines w:val="0"/>
              <w:pageBreakBefore w:val="0"/>
              <w:widowControl w:val="0"/>
              <w:kinsoku/>
              <w:wordWrap/>
              <w:overflowPunct/>
              <w:topLinePunct w:val="0"/>
              <w:autoSpaceDE w:val="0"/>
              <w:autoSpaceDN w:val="0"/>
              <w:bidi w:val="0"/>
              <w:adjustRightInd/>
              <w:snapToGrid/>
              <w:ind w:left="0" w:leftChars="0" w:right="0"/>
              <w:jc w:val="center"/>
              <w:textAlignment w:val="auto"/>
              <w:rPr>
                <w:rFonts w:hint="eastAsia" w:ascii="宋体" w:hAnsi="宋体" w:eastAsia="宋体" w:cs="宋体"/>
                <w:color w:val="000000"/>
                <w:sz w:val="20"/>
                <w:szCs w:val="21"/>
                <w:lang w:val="zh-CN" w:eastAsia="zh-CN" w:bidi="zh-CN"/>
              </w:rPr>
            </w:pPr>
            <w:r>
              <w:rPr>
                <w:rFonts w:hint="eastAsia" w:cs="宋体"/>
                <w:color w:val="000000"/>
                <w:sz w:val="20"/>
                <w:szCs w:val="21"/>
                <w:lang w:val="zh-CN" w:eastAsia="zh-CN" w:bidi="zh-CN"/>
              </w:rPr>
              <w:t>交通物流班</w:t>
            </w:r>
          </w:p>
        </w:tc>
      </w:tr>
    </w:tbl>
    <w:p>
      <w:pPr>
        <w:spacing w:line="360" w:lineRule="auto"/>
        <w:ind w:firstLine="420" w:firstLineChars="200"/>
        <w:rPr>
          <w:rFonts w:hint="eastAsia"/>
        </w:rPr>
      </w:pPr>
    </w:p>
    <w:p>
      <w:pPr>
        <w:spacing w:line="360" w:lineRule="auto"/>
        <w:ind w:firstLine="420" w:firstLineChars="200"/>
        <w:rPr>
          <w:rFonts w:hint="eastAsia"/>
        </w:rPr>
      </w:pPr>
    </w:p>
    <w:p>
      <w:pPr>
        <w:spacing w:line="360" w:lineRule="auto"/>
        <w:ind w:firstLine="420" w:firstLineChars="200"/>
        <w:rPr>
          <w:rFonts w:hint="eastAsia"/>
        </w:rPr>
      </w:pPr>
    </w:p>
    <w:p>
      <w:pPr>
        <w:spacing w:line="360" w:lineRule="auto"/>
        <w:ind w:firstLine="420" w:firstLineChars="200"/>
        <w:rPr>
          <w:rFonts w:hint="eastAsia"/>
        </w:rPr>
      </w:pPr>
    </w:p>
    <w:p>
      <w:pPr>
        <w:spacing w:line="360" w:lineRule="auto"/>
        <w:ind w:firstLine="420" w:firstLineChars="200"/>
        <w:rPr>
          <w:rFonts w:hint="eastAsia"/>
        </w:rPr>
      </w:pPr>
    </w:p>
    <w:p>
      <w:pPr>
        <w:pStyle w:val="2"/>
        <w:spacing w:before="149" w:line="417" w:lineRule="auto"/>
        <w:ind w:right="457" w:firstLine="405"/>
        <w:jc w:val="center"/>
        <w:rPr>
          <w:rFonts w:hint="eastAsia"/>
          <w:color w:val="333333"/>
          <w:spacing w:val="-3"/>
        </w:rPr>
      </w:pPr>
      <w:r>
        <w:rPr>
          <w:rFonts w:hint="eastAsia"/>
          <w:color w:val="333333"/>
          <w:spacing w:val="-3"/>
        </w:rPr>
        <w:t>表</w:t>
      </w:r>
      <w:r>
        <w:rPr>
          <w:rFonts w:hint="eastAsia"/>
          <w:color w:val="333333"/>
          <w:spacing w:val="-3"/>
          <w:lang w:eastAsia="zh-CN"/>
        </w:rPr>
        <w:t>二</w:t>
      </w:r>
      <w:r>
        <w:rPr>
          <w:rFonts w:hint="eastAsia"/>
          <w:color w:val="333333"/>
          <w:spacing w:val="-3"/>
        </w:rPr>
        <w:t>：全日制硕士研究生奖学金奖励标准（定向除外）</w:t>
      </w:r>
    </w:p>
    <w:tbl>
      <w:tblPr>
        <w:tblStyle w:val="4"/>
        <w:tblW w:w="90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4515"/>
        <w:gridCol w:w="2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998"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2"/>
              <w:spacing w:line="360" w:lineRule="auto"/>
              <w:ind w:right="-48" w:rightChars="0"/>
              <w:jc w:val="center"/>
              <w:rPr>
                <w:rFonts w:hint="eastAsia" w:eastAsia="宋体"/>
                <w:b/>
                <w:bCs/>
                <w:color w:val="FFFFFF"/>
                <w:vertAlign w:val="baseline"/>
                <w:lang w:eastAsia="zh-CN"/>
              </w:rPr>
            </w:pPr>
            <w:r>
              <w:rPr>
                <w:rFonts w:hint="eastAsia"/>
                <w:b/>
                <w:bCs/>
                <w:color w:val="FFFFFF"/>
                <w:vertAlign w:val="baseline"/>
                <w:lang w:eastAsia="zh-CN"/>
              </w:rPr>
              <w:t>等级</w:t>
            </w:r>
          </w:p>
        </w:tc>
        <w:tc>
          <w:tcPr>
            <w:tcW w:w="4515"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2"/>
              <w:spacing w:line="360" w:lineRule="auto"/>
              <w:ind w:right="-48" w:rightChars="0"/>
              <w:jc w:val="center"/>
              <w:rPr>
                <w:rFonts w:hint="eastAsia" w:eastAsia="宋体"/>
                <w:b/>
                <w:bCs/>
                <w:color w:val="FFFFFF"/>
                <w:vertAlign w:val="baseline"/>
                <w:lang w:eastAsia="zh-CN"/>
              </w:rPr>
            </w:pPr>
            <w:r>
              <w:rPr>
                <w:rFonts w:hint="eastAsia"/>
                <w:b/>
                <w:bCs/>
                <w:color w:val="FFFFFF"/>
                <w:vertAlign w:val="baseline"/>
                <w:lang w:eastAsia="zh-CN"/>
              </w:rPr>
              <w:t>比例</w:t>
            </w:r>
          </w:p>
        </w:tc>
        <w:tc>
          <w:tcPr>
            <w:tcW w:w="2573" w:type="dxa"/>
            <w:tcBorders>
              <w:top w:val="single" w:color="C0504D" w:sz="8" w:space="0"/>
              <w:left w:val="single" w:color="C0504D" w:sz="8" w:space="0"/>
              <w:bottom w:val="single" w:color="FFFFFF" w:sz="18" w:space="0"/>
              <w:right w:val="single" w:color="C0504D" w:sz="8" w:space="0"/>
            </w:tcBorders>
            <w:shd w:val="clear" w:color="auto" w:fill="C0504D"/>
            <w:vAlign w:val="center"/>
          </w:tcPr>
          <w:p>
            <w:pPr>
              <w:pStyle w:val="2"/>
              <w:spacing w:line="360" w:lineRule="auto"/>
              <w:ind w:right="-46" w:rightChars="0"/>
              <w:jc w:val="center"/>
              <w:rPr>
                <w:rFonts w:hint="default" w:eastAsia="宋体"/>
                <w:b/>
                <w:bCs/>
                <w:color w:val="FFFFFF"/>
                <w:vertAlign w:val="baseline"/>
                <w:lang w:val="en-US" w:eastAsia="zh-CN"/>
              </w:rPr>
            </w:pPr>
            <w:r>
              <w:rPr>
                <w:rFonts w:hint="eastAsia"/>
                <w:b/>
                <w:bCs/>
                <w:color w:val="FFFFFF"/>
                <w:vertAlign w:val="baseline"/>
                <w:lang w:eastAsia="zh-CN"/>
              </w:rPr>
              <w:t>奖励标准</w:t>
            </w:r>
            <w:r>
              <w:rPr>
                <w:rFonts w:hint="eastAsia"/>
                <w:b/>
                <w:bCs/>
                <w:color w:val="FFFFFF"/>
                <w:vertAlign w:val="baseline"/>
                <w:lang w:val="en-US" w:eastAsia="zh-CN"/>
              </w:rPr>
              <w:t>(生/每年)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998"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2"/>
              <w:spacing w:line="360" w:lineRule="auto"/>
              <w:ind w:right="-48" w:rightChars="0"/>
              <w:jc w:val="center"/>
              <w:rPr>
                <w:rFonts w:hint="eastAsia" w:eastAsia="宋体"/>
                <w:color w:val="000000"/>
                <w:vertAlign w:val="baseline"/>
                <w:lang w:eastAsia="zh-CN"/>
              </w:rPr>
            </w:pPr>
            <w:r>
              <w:rPr>
                <w:rFonts w:hint="eastAsia"/>
                <w:color w:val="000000"/>
                <w:vertAlign w:val="baseline"/>
                <w:lang w:eastAsia="zh-CN"/>
              </w:rPr>
              <w:t>国家奖学金</w:t>
            </w:r>
          </w:p>
        </w:tc>
        <w:tc>
          <w:tcPr>
            <w:tcW w:w="4515" w:type="dxa"/>
            <w:vMerge w:val="restart"/>
            <w:tcBorders>
              <w:top w:val="single" w:color="FFFFFF" w:sz="18" w:space="0"/>
              <w:left w:val="single" w:color="C0504D" w:sz="8" w:space="0"/>
              <w:bottom w:val="single" w:color="C0504D" w:sz="8" w:space="0"/>
              <w:right w:val="single" w:color="C0504D" w:sz="8" w:space="0"/>
            </w:tcBorders>
            <w:shd w:val="clear" w:color="auto" w:fill="auto"/>
            <w:vAlign w:val="center"/>
          </w:tcPr>
          <w:p>
            <w:pPr>
              <w:pStyle w:val="2"/>
              <w:spacing w:line="360" w:lineRule="auto"/>
              <w:ind w:right="119" w:rightChars="0"/>
              <w:jc w:val="center"/>
              <w:rPr>
                <w:rFonts w:hint="eastAsia"/>
                <w:color w:val="000000"/>
                <w:vertAlign w:val="baseline"/>
                <w:lang w:val="en-US" w:eastAsia="zh-CN"/>
              </w:rPr>
            </w:pPr>
            <w:r>
              <w:rPr>
                <w:rFonts w:hint="eastAsia"/>
                <w:color w:val="000000"/>
                <w:vertAlign w:val="baseline"/>
                <w:lang w:val="en-US" w:eastAsia="zh-CN"/>
              </w:rPr>
              <w:t>40%</w:t>
            </w:r>
          </w:p>
          <w:p>
            <w:pPr>
              <w:pStyle w:val="2"/>
              <w:spacing w:line="360" w:lineRule="auto"/>
              <w:ind w:right="-48" w:rightChars="0"/>
              <w:jc w:val="center"/>
              <w:rPr>
                <w:rFonts w:hint="default"/>
                <w:color w:val="000000"/>
                <w:vertAlign w:val="baseline"/>
                <w:lang w:val="en-US" w:eastAsia="zh-CN"/>
              </w:rPr>
            </w:pPr>
            <w:r>
              <w:rPr>
                <w:rFonts w:hint="eastAsia"/>
                <w:color w:val="000000"/>
                <w:vertAlign w:val="baseline"/>
                <w:lang w:val="en-US" w:eastAsia="zh-CN"/>
              </w:rPr>
              <w:t>（其中国家奖学金按照当年下达的指标确定）</w:t>
            </w:r>
          </w:p>
        </w:tc>
        <w:tc>
          <w:tcPr>
            <w:tcW w:w="2573"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2"/>
              <w:spacing w:line="360" w:lineRule="auto"/>
              <w:ind w:right="-46" w:rightChars="0"/>
              <w:jc w:val="center"/>
              <w:rPr>
                <w:rFonts w:hint="default" w:eastAsia="宋体"/>
                <w:color w:val="000000"/>
                <w:vertAlign w:val="baseline"/>
                <w:lang w:val="en-US" w:eastAsia="zh-CN"/>
              </w:rPr>
            </w:pPr>
            <w:r>
              <w:rPr>
                <w:rFonts w:hint="eastAsia"/>
                <w:color w:val="000000"/>
                <w:vertAlign w:val="baseline"/>
                <w:lang w:val="en-US" w:eastAsia="zh-CN"/>
              </w:rPr>
              <w:t>20000元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998"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line="360" w:lineRule="auto"/>
              <w:ind w:right="-48" w:rightChars="0"/>
              <w:jc w:val="center"/>
              <w:rPr>
                <w:rFonts w:hint="eastAsia" w:eastAsia="宋体"/>
                <w:color w:val="000000"/>
                <w:vertAlign w:val="baseline"/>
                <w:lang w:eastAsia="zh-CN"/>
              </w:rPr>
            </w:pPr>
            <w:r>
              <w:rPr>
                <w:rFonts w:hint="eastAsia"/>
                <w:color w:val="000000"/>
                <w:vertAlign w:val="baseline"/>
                <w:lang w:eastAsia="zh-CN"/>
              </w:rPr>
              <w:t>一等奖学金</w:t>
            </w:r>
          </w:p>
        </w:tc>
        <w:tc>
          <w:tcPr>
            <w:tcW w:w="4515"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line="360" w:lineRule="auto"/>
              <w:ind w:right="1063"/>
              <w:jc w:val="center"/>
              <w:rPr>
                <w:color w:val="000000"/>
                <w:vertAlign w:val="baseline"/>
              </w:rPr>
            </w:pPr>
          </w:p>
        </w:tc>
        <w:tc>
          <w:tcPr>
            <w:tcW w:w="2573"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line="360" w:lineRule="auto"/>
              <w:ind w:right="-46" w:rightChars="0"/>
              <w:jc w:val="center"/>
              <w:rPr>
                <w:rFonts w:hint="default" w:eastAsia="宋体"/>
                <w:color w:val="000000"/>
                <w:vertAlign w:val="baseline"/>
                <w:lang w:val="en-US" w:eastAsia="zh-CN"/>
              </w:rPr>
            </w:pPr>
            <w:r>
              <w:rPr>
                <w:rFonts w:hint="eastAsia"/>
                <w:color w:val="000000"/>
                <w:vertAlign w:val="baseline"/>
                <w:lang w:val="en-US" w:eastAsia="zh-CN"/>
              </w:rPr>
              <w:t>12000元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1998"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line="360" w:lineRule="auto"/>
              <w:ind w:right="-48" w:rightChars="0"/>
              <w:jc w:val="center"/>
              <w:rPr>
                <w:color w:val="000000"/>
                <w:vertAlign w:val="baseline"/>
              </w:rPr>
            </w:pPr>
            <w:r>
              <w:rPr>
                <w:rFonts w:hint="eastAsia"/>
                <w:color w:val="000000"/>
                <w:vertAlign w:val="baseline"/>
                <w:lang w:eastAsia="zh-CN"/>
              </w:rPr>
              <w:t>二等奖学金</w:t>
            </w:r>
          </w:p>
        </w:tc>
        <w:tc>
          <w:tcPr>
            <w:tcW w:w="451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line="360" w:lineRule="auto"/>
              <w:ind w:right="-48" w:rightChars="0"/>
              <w:jc w:val="center"/>
              <w:rPr>
                <w:rFonts w:hint="default" w:eastAsia="宋体"/>
                <w:color w:val="000000"/>
                <w:vertAlign w:val="baseline"/>
                <w:lang w:val="en-US" w:eastAsia="zh-CN"/>
              </w:rPr>
            </w:pPr>
            <w:r>
              <w:rPr>
                <w:rFonts w:hint="eastAsia"/>
                <w:color w:val="000000"/>
                <w:vertAlign w:val="baseline"/>
                <w:lang w:val="en-US" w:eastAsia="zh-CN"/>
              </w:rPr>
              <w:t>30%</w:t>
            </w:r>
          </w:p>
        </w:tc>
        <w:tc>
          <w:tcPr>
            <w:tcW w:w="2573"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line="360" w:lineRule="auto"/>
              <w:ind w:right="-46" w:rightChars="0"/>
              <w:jc w:val="center"/>
              <w:rPr>
                <w:rFonts w:hint="default" w:eastAsia="宋体"/>
                <w:color w:val="000000"/>
                <w:vertAlign w:val="baseline"/>
                <w:lang w:val="en-US" w:eastAsia="zh-CN"/>
              </w:rPr>
            </w:pPr>
            <w:r>
              <w:rPr>
                <w:rFonts w:hint="eastAsia"/>
                <w:color w:val="000000"/>
                <w:vertAlign w:val="baseline"/>
                <w:lang w:val="en-US" w:eastAsia="zh-CN"/>
              </w:rPr>
              <w:t>8000元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998" w:type="dxa"/>
            <w:tcBorders>
              <w:top w:val="single" w:color="C0504D" w:sz="8" w:space="0"/>
              <w:left w:val="single" w:color="C0504D" w:sz="8" w:space="0"/>
              <w:bottom w:val="single" w:color="C0504D" w:sz="8" w:space="0"/>
              <w:right w:val="single" w:color="C0504D" w:sz="8" w:space="0"/>
            </w:tcBorders>
            <w:shd w:val="clear" w:color="auto" w:fill="FFFFFF"/>
            <w:vAlign w:val="center"/>
          </w:tcPr>
          <w:p>
            <w:pPr>
              <w:pStyle w:val="2"/>
              <w:spacing w:line="360" w:lineRule="auto"/>
              <w:ind w:right="-48" w:rightChars="0"/>
              <w:jc w:val="center"/>
              <w:rPr>
                <w:color w:val="000000"/>
                <w:vertAlign w:val="baseline"/>
              </w:rPr>
            </w:pPr>
            <w:r>
              <w:rPr>
                <w:rFonts w:hint="eastAsia"/>
                <w:color w:val="000000"/>
                <w:vertAlign w:val="baseline"/>
                <w:lang w:eastAsia="zh-CN"/>
              </w:rPr>
              <w:t>三等奖学金</w:t>
            </w:r>
          </w:p>
        </w:tc>
        <w:tc>
          <w:tcPr>
            <w:tcW w:w="4515" w:type="dxa"/>
            <w:tcBorders>
              <w:top w:val="single" w:color="C0504D" w:sz="8" w:space="0"/>
              <w:left w:val="single" w:color="C0504D" w:sz="8" w:space="0"/>
              <w:bottom w:val="single" w:color="C0504D" w:sz="8" w:space="0"/>
              <w:right w:val="single" w:color="C0504D" w:sz="8" w:space="0"/>
            </w:tcBorders>
            <w:shd w:val="clear" w:color="auto" w:fill="FFFFFF"/>
            <w:vAlign w:val="center"/>
          </w:tcPr>
          <w:p>
            <w:pPr>
              <w:pStyle w:val="2"/>
              <w:spacing w:line="360" w:lineRule="auto"/>
              <w:ind w:right="-48" w:rightChars="0"/>
              <w:jc w:val="center"/>
              <w:rPr>
                <w:rFonts w:hint="eastAsia" w:eastAsia="宋体"/>
                <w:color w:val="000000"/>
                <w:vertAlign w:val="baseline"/>
                <w:lang w:val="en-US" w:eastAsia="zh-CN"/>
              </w:rPr>
            </w:pPr>
            <w:r>
              <w:rPr>
                <w:rFonts w:hint="eastAsia"/>
                <w:color w:val="000000"/>
                <w:vertAlign w:val="baseline"/>
                <w:lang w:val="en-US" w:eastAsia="zh-CN"/>
              </w:rPr>
              <w:t>30%</w:t>
            </w:r>
          </w:p>
        </w:tc>
        <w:tc>
          <w:tcPr>
            <w:tcW w:w="2573" w:type="dxa"/>
            <w:tcBorders>
              <w:top w:val="single" w:color="C0504D" w:sz="8" w:space="0"/>
              <w:left w:val="single" w:color="C0504D" w:sz="8" w:space="0"/>
              <w:bottom w:val="single" w:color="C0504D" w:sz="8" w:space="0"/>
              <w:right w:val="single" w:color="C0504D" w:sz="8" w:space="0"/>
            </w:tcBorders>
            <w:shd w:val="clear" w:color="auto" w:fill="FFFFFF"/>
            <w:vAlign w:val="center"/>
          </w:tcPr>
          <w:p>
            <w:pPr>
              <w:pStyle w:val="2"/>
              <w:spacing w:line="360" w:lineRule="auto"/>
              <w:ind w:right="-46" w:rightChars="0"/>
              <w:jc w:val="center"/>
              <w:rPr>
                <w:rFonts w:hint="default" w:eastAsia="宋体"/>
                <w:color w:val="000000"/>
                <w:vertAlign w:val="baseline"/>
                <w:lang w:val="en-US" w:eastAsia="zh-CN"/>
              </w:rPr>
            </w:pPr>
            <w:r>
              <w:rPr>
                <w:rFonts w:hint="eastAsia"/>
                <w:color w:val="000000"/>
                <w:vertAlign w:val="baseline"/>
                <w:lang w:val="en-US" w:eastAsia="zh-CN"/>
              </w:rPr>
              <w:t>2000元</w:t>
            </w:r>
          </w:p>
        </w:tc>
      </w:tr>
    </w:tbl>
    <w:p>
      <w:pPr>
        <w:spacing w:line="360" w:lineRule="auto"/>
        <w:ind w:firstLine="420" w:firstLineChars="200"/>
        <w:rPr>
          <w:rFonts w:hint="eastAsia"/>
        </w:rPr>
      </w:pPr>
    </w:p>
    <w:p>
      <w:pPr>
        <w:spacing w:line="360" w:lineRule="auto"/>
        <w:ind w:firstLine="420" w:firstLineChars="200"/>
        <w:rPr>
          <w:rFonts w:hint="eastAsia"/>
        </w:rPr>
      </w:pPr>
      <w:r>
        <w:rPr>
          <w:rFonts w:hint="eastAsia"/>
        </w:rPr>
        <w:t>为了鼓励优秀人才攻读非全日制工商管理硕士（MBA），培养更多品学兼优的商界精英，北京交通大学MBA教育中心特设立MBA联考优胜奖学金、MBA联考普惠奖学金。其奖励范围、奖金额度和奖励对象如表三所示。202</w:t>
      </w:r>
      <w:r>
        <w:rPr>
          <w:rFonts w:hint="eastAsia"/>
          <w:lang w:val="en-US" w:eastAsia="zh-CN"/>
        </w:rPr>
        <w:t>1</w:t>
      </w:r>
      <w:r>
        <w:rPr>
          <w:rFonts w:hint="eastAsia"/>
        </w:rPr>
        <w:t>级非全日制MBA新生奖学金评选办法详见后续通知。若有变动，均以具体通知为准。</w:t>
      </w:r>
    </w:p>
    <w:p>
      <w:pPr>
        <w:pStyle w:val="2"/>
        <w:spacing w:before="149" w:line="417" w:lineRule="auto"/>
        <w:ind w:right="457" w:firstLine="405"/>
        <w:jc w:val="center"/>
        <w:rPr>
          <w:rFonts w:hint="eastAsia"/>
          <w:color w:val="333333"/>
          <w:spacing w:val="-3"/>
        </w:rPr>
      </w:pPr>
      <w:r>
        <w:rPr>
          <w:rFonts w:hint="eastAsia"/>
          <w:color w:val="333333"/>
          <w:spacing w:val="-3"/>
        </w:rPr>
        <w:t>表</w:t>
      </w:r>
      <w:r>
        <w:rPr>
          <w:rFonts w:hint="eastAsia"/>
          <w:color w:val="333333"/>
          <w:spacing w:val="-3"/>
          <w:lang w:eastAsia="zh-CN"/>
        </w:rPr>
        <w:t>三</w:t>
      </w:r>
      <w:r>
        <w:rPr>
          <w:rFonts w:hint="eastAsia"/>
          <w:color w:val="333333"/>
          <w:spacing w:val="-3"/>
        </w:rPr>
        <w:t>：</w:t>
      </w:r>
      <w:r>
        <w:rPr>
          <w:rFonts w:hint="eastAsia"/>
          <w:color w:val="333333"/>
          <w:spacing w:val="-3"/>
          <w:lang w:val="en-US" w:eastAsia="zh-CN"/>
        </w:rPr>
        <w:t>2021级</w:t>
      </w:r>
      <w:r>
        <w:rPr>
          <w:rFonts w:hint="eastAsia"/>
          <w:color w:val="333333"/>
          <w:spacing w:val="-3"/>
          <w:lang w:eastAsia="zh-CN"/>
        </w:rPr>
        <w:t>非</w:t>
      </w:r>
      <w:r>
        <w:rPr>
          <w:rFonts w:hint="eastAsia"/>
          <w:color w:val="333333"/>
          <w:spacing w:val="-3"/>
        </w:rPr>
        <w:t>全日制</w:t>
      </w:r>
      <w:r>
        <w:rPr>
          <w:rFonts w:hint="eastAsia"/>
          <w:color w:val="333333"/>
          <w:spacing w:val="-3"/>
          <w:lang w:eastAsia="zh-CN"/>
        </w:rPr>
        <w:t>工商管理</w:t>
      </w:r>
      <w:r>
        <w:rPr>
          <w:rFonts w:hint="eastAsia"/>
          <w:color w:val="333333"/>
          <w:spacing w:val="-3"/>
        </w:rPr>
        <w:t>硕士</w:t>
      </w:r>
      <w:r>
        <w:rPr>
          <w:rFonts w:hint="eastAsia"/>
          <w:color w:val="333333"/>
          <w:spacing w:val="-3"/>
          <w:lang w:eastAsia="zh-CN"/>
        </w:rPr>
        <w:t>（</w:t>
      </w:r>
      <w:r>
        <w:rPr>
          <w:rFonts w:hint="eastAsia"/>
          <w:color w:val="333333"/>
          <w:spacing w:val="-3"/>
          <w:lang w:val="en-US" w:eastAsia="zh-CN"/>
        </w:rPr>
        <w:t>MBA</w:t>
      </w:r>
      <w:r>
        <w:rPr>
          <w:rFonts w:hint="eastAsia"/>
          <w:color w:val="333333"/>
          <w:spacing w:val="-3"/>
          <w:lang w:eastAsia="zh-CN"/>
        </w:rPr>
        <w:t>）新生</w:t>
      </w:r>
      <w:r>
        <w:rPr>
          <w:rFonts w:hint="eastAsia"/>
          <w:color w:val="333333"/>
          <w:spacing w:val="-3"/>
        </w:rPr>
        <w:t>奖学金奖励标准</w:t>
      </w:r>
    </w:p>
    <w:tbl>
      <w:tblPr>
        <w:tblStyle w:val="4"/>
        <w:tblW w:w="9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3"/>
        <w:gridCol w:w="1236"/>
        <w:gridCol w:w="3135"/>
        <w:gridCol w:w="1334"/>
        <w:gridCol w:w="1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tcBorders>
              <w:top w:val="single" w:color="C0504D" w:sz="8" w:space="0"/>
              <w:left w:val="single" w:color="C0504D" w:sz="8" w:space="0"/>
              <w:bottom w:val="single" w:color="FFFFFF" w:sz="18" w:space="0"/>
              <w:right w:val="single" w:color="C0504D" w:sz="8" w:space="0"/>
            </w:tcBorders>
            <w:shd w:val="clear" w:color="auto" w:fill="C0504D"/>
          </w:tcPr>
          <w:p>
            <w:pPr>
              <w:pStyle w:val="2"/>
              <w:spacing w:before="149" w:line="417" w:lineRule="auto"/>
              <w:ind w:right="61" w:rightChars="0"/>
              <w:jc w:val="center"/>
              <w:rPr>
                <w:rFonts w:hint="eastAsia"/>
                <w:b/>
                <w:bCs/>
                <w:color w:val="FFFFFF" w:themeColor="background1"/>
                <w:spacing w:val="-3"/>
                <w:vertAlign w:val="baseline"/>
                <w:lang w:eastAsia="zh-CN"/>
                <w14:textFill>
                  <w14:solidFill>
                    <w14:schemeClr w14:val="bg1"/>
                  </w14:solidFill>
                </w14:textFill>
              </w:rPr>
            </w:pPr>
            <w:r>
              <w:rPr>
                <w:rFonts w:hint="eastAsia"/>
                <w:b/>
                <w:bCs/>
                <w:color w:val="FFFFFF" w:themeColor="background1"/>
                <w:spacing w:val="-3"/>
                <w:vertAlign w:val="baseline"/>
                <w:lang w:eastAsia="zh-CN"/>
                <w14:textFill>
                  <w14:solidFill>
                    <w14:schemeClr w14:val="bg1"/>
                  </w14:solidFill>
                </w14:textFill>
              </w:rPr>
              <w:t>奖学金名称</w:t>
            </w:r>
          </w:p>
        </w:tc>
        <w:tc>
          <w:tcPr>
            <w:tcW w:w="1236" w:type="dxa"/>
            <w:tcBorders>
              <w:top w:val="single" w:color="C0504D" w:sz="8" w:space="0"/>
              <w:left w:val="single" w:color="C0504D" w:sz="8" w:space="0"/>
              <w:bottom w:val="single" w:color="FFFFFF" w:sz="18" w:space="0"/>
              <w:right w:val="single" w:color="C0504D" w:sz="8" w:space="0"/>
            </w:tcBorders>
            <w:shd w:val="clear" w:color="auto" w:fill="C0504D"/>
          </w:tcPr>
          <w:p>
            <w:pPr>
              <w:pStyle w:val="2"/>
              <w:spacing w:before="149" w:line="417" w:lineRule="auto"/>
              <w:ind w:right="61" w:rightChars="0"/>
              <w:jc w:val="center"/>
              <w:rPr>
                <w:rFonts w:hint="eastAsia"/>
                <w:b/>
                <w:bCs/>
                <w:color w:val="FFFFFF" w:themeColor="background1"/>
                <w:spacing w:val="-3"/>
                <w:vertAlign w:val="baseline"/>
                <w:lang w:eastAsia="zh-CN"/>
                <w14:textFill>
                  <w14:solidFill>
                    <w14:schemeClr w14:val="bg1"/>
                  </w14:solidFill>
                </w14:textFill>
              </w:rPr>
            </w:pPr>
            <w:r>
              <w:rPr>
                <w:rFonts w:hint="eastAsia"/>
                <w:b/>
                <w:bCs/>
                <w:color w:val="FFFFFF" w:themeColor="background1"/>
                <w:spacing w:val="-3"/>
                <w:vertAlign w:val="baseline"/>
                <w:lang w:eastAsia="zh-CN"/>
                <w14:textFill>
                  <w14:solidFill>
                    <w14:schemeClr w14:val="bg1"/>
                  </w14:solidFill>
                </w14:textFill>
              </w:rPr>
              <w:t>奖励等级</w:t>
            </w:r>
          </w:p>
        </w:tc>
        <w:tc>
          <w:tcPr>
            <w:tcW w:w="3135" w:type="dxa"/>
            <w:tcBorders>
              <w:top w:val="single" w:color="C0504D" w:sz="8" w:space="0"/>
              <w:left w:val="single" w:color="C0504D" w:sz="8" w:space="0"/>
              <w:bottom w:val="single" w:color="FFFFFF" w:sz="18" w:space="0"/>
              <w:right w:val="single" w:color="C0504D" w:sz="8" w:space="0"/>
            </w:tcBorders>
            <w:shd w:val="clear" w:color="auto" w:fill="C0504D"/>
          </w:tcPr>
          <w:p>
            <w:pPr>
              <w:pStyle w:val="2"/>
              <w:spacing w:before="149" w:line="417" w:lineRule="auto"/>
              <w:ind w:right="61" w:rightChars="0"/>
              <w:jc w:val="center"/>
              <w:rPr>
                <w:rFonts w:hint="eastAsia"/>
                <w:b/>
                <w:bCs/>
                <w:color w:val="FFFFFF" w:themeColor="background1"/>
                <w:spacing w:val="-3"/>
                <w:vertAlign w:val="baseline"/>
                <w:lang w:eastAsia="zh-CN"/>
                <w14:textFill>
                  <w14:solidFill>
                    <w14:schemeClr w14:val="bg1"/>
                  </w14:solidFill>
                </w14:textFill>
              </w:rPr>
            </w:pPr>
            <w:r>
              <w:rPr>
                <w:rFonts w:hint="eastAsia"/>
                <w:b/>
                <w:bCs/>
                <w:color w:val="FFFFFF" w:themeColor="background1"/>
                <w:spacing w:val="-3"/>
                <w:vertAlign w:val="baseline"/>
                <w:lang w:eastAsia="zh-CN"/>
                <w14:textFill>
                  <w14:solidFill>
                    <w14:schemeClr w14:val="bg1"/>
                  </w14:solidFill>
                </w14:textFill>
              </w:rPr>
              <w:t>奖励范围</w:t>
            </w:r>
          </w:p>
        </w:tc>
        <w:tc>
          <w:tcPr>
            <w:tcW w:w="1334" w:type="dxa"/>
            <w:tcBorders>
              <w:top w:val="single" w:color="C0504D" w:sz="8" w:space="0"/>
              <w:left w:val="single" w:color="C0504D" w:sz="8" w:space="0"/>
              <w:bottom w:val="single" w:color="FFFFFF" w:sz="18" w:space="0"/>
              <w:right w:val="single" w:color="C0504D" w:sz="8" w:space="0"/>
            </w:tcBorders>
            <w:shd w:val="clear" w:color="auto" w:fill="C0504D"/>
          </w:tcPr>
          <w:p>
            <w:pPr>
              <w:pStyle w:val="2"/>
              <w:spacing w:before="149" w:line="417" w:lineRule="auto"/>
              <w:ind w:right="61" w:rightChars="0"/>
              <w:jc w:val="center"/>
              <w:rPr>
                <w:rFonts w:hint="eastAsia"/>
                <w:b/>
                <w:bCs/>
                <w:color w:val="FFFFFF" w:themeColor="background1"/>
                <w:spacing w:val="-3"/>
                <w:vertAlign w:val="baseline"/>
                <w:lang w:eastAsia="zh-CN"/>
                <w14:textFill>
                  <w14:solidFill>
                    <w14:schemeClr w14:val="bg1"/>
                  </w14:solidFill>
                </w14:textFill>
              </w:rPr>
            </w:pPr>
            <w:r>
              <w:rPr>
                <w:rFonts w:hint="eastAsia"/>
                <w:b/>
                <w:bCs/>
                <w:color w:val="FFFFFF" w:themeColor="background1"/>
                <w:spacing w:val="-3"/>
                <w:vertAlign w:val="baseline"/>
                <w:lang w:eastAsia="zh-CN"/>
                <w14:textFill>
                  <w14:solidFill>
                    <w14:schemeClr w14:val="bg1"/>
                  </w14:solidFill>
                </w14:textFill>
              </w:rPr>
              <w:t>奖励金额</w:t>
            </w:r>
          </w:p>
        </w:tc>
        <w:tc>
          <w:tcPr>
            <w:tcW w:w="1808" w:type="dxa"/>
            <w:tcBorders>
              <w:top w:val="single" w:color="C0504D" w:sz="8" w:space="0"/>
              <w:left w:val="single" w:color="C0504D" w:sz="8" w:space="0"/>
              <w:bottom w:val="single" w:color="FFFFFF" w:sz="18" w:space="0"/>
              <w:right w:val="single" w:color="C0504D" w:sz="8" w:space="0"/>
            </w:tcBorders>
            <w:shd w:val="clear" w:color="auto" w:fill="C0504D"/>
          </w:tcPr>
          <w:p>
            <w:pPr>
              <w:pStyle w:val="2"/>
              <w:spacing w:before="149" w:line="417" w:lineRule="auto"/>
              <w:ind w:right="48" w:rightChars="23"/>
              <w:jc w:val="center"/>
              <w:rPr>
                <w:rFonts w:hint="eastAsia"/>
                <w:b/>
                <w:bCs/>
                <w:color w:val="FFFFFF" w:themeColor="background1"/>
                <w:spacing w:val="-3"/>
                <w:vertAlign w:val="baseline"/>
                <w:lang w:eastAsia="zh-CN"/>
                <w14:textFill>
                  <w14:solidFill>
                    <w14:schemeClr w14:val="bg1"/>
                  </w14:solidFill>
                </w14:textFill>
              </w:rPr>
            </w:pPr>
            <w:r>
              <w:rPr>
                <w:rFonts w:hint="eastAsia"/>
                <w:b/>
                <w:bCs/>
                <w:color w:val="FFFFFF" w:themeColor="background1"/>
                <w:spacing w:val="-3"/>
                <w:vertAlign w:val="baseline"/>
                <w:lang w:eastAsia="zh-CN"/>
                <w14:textFill>
                  <w14:solidFill>
                    <w14:schemeClr w14:val="bg1"/>
                  </w14:solidFill>
                </w14:textFill>
              </w:rPr>
              <w:t>奖励条件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vMerge w:val="restart"/>
            <w:tcBorders>
              <w:top w:val="single" w:color="FFFFFF" w:sz="1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MBA联考优胜奖学金</w:t>
            </w:r>
          </w:p>
        </w:tc>
        <w:tc>
          <w:tcPr>
            <w:tcW w:w="1236"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一等奖</w:t>
            </w:r>
          </w:p>
        </w:tc>
        <w:tc>
          <w:tcPr>
            <w:tcW w:w="3135"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MBA联考成绩前1%的学生</w:t>
            </w:r>
          </w:p>
        </w:tc>
        <w:tc>
          <w:tcPr>
            <w:tcW w:w="1334" w:type="dxa"/>
            <w:tcBorders>
              <w:top w:val="single" w:color="FFFFFF" w:sz="1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default"/>
                <w:color w:val="333333"/>
                <w:spacing w:val="-3"/>
                <w:vertAlign w:val="baseline"/>
                <w:lang w:val="en-US" w:eastAsia="zh-CN"/>
              </w:rPr>
            </w:pPr>
            <w:r>
              <w:rPr>
                <w:rFonts w:hint="eastAsia"/>
                <w:color w:val="333333"/>
                <w:spacing w:val="-3"/>
                <w:vertAlign w:val="baseline"/>
                <w:lang w:val="en-US" w:eastAsia="zh-CN"/>
              </w:rPr>
              <w:t>50000元</w:t>
            </w:r>
          </w:p>
        </w:tc>
        <w:tc>
          <w:tcPr>
            <w:tcW w:w="1808" w:type="dxa"/>
            <w:vMerge w:val="restart"/>
            <w:tcBorders>
              <w:top w:val="single" w:color="FFFFFF" w:sz="1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第一志愿报考我校并被录取为2021级工商管理硕士（MBA）研究生的非全日制考生。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p>
        </w:tc>
        <w:tc>
          <w:tcPr>
            <w:tcW w:w="1236"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二等奖</w:t>
            </w:r>
          </w:p>
        </w:tc>
        <w:tc>
          <w:tcPr>
            <w:tcW w:w="313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MBA联考成绩约前3%的学生</w:t>
            </w:r>
          </w:p>
        </w:tc>
        <w:tc>
          <w:tcPr>
            <w:tcW w:w="1334"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default"/>
                <w:color w:val="333333"/>
                <w:spacing w:val="-3"/>
                <w:vertAlign w:val="baseline"/>
                <w:lang w:val="en-US" w:eastAsia="zh-CN"/>
              </w:rPr>
            </w:pPr>
            <w:r>
              <w:rPr>
                <w:rFonts w:hint="eastAsia"/>
                <w:color w:val="333333"/>
                <w:spacing w:val="-3"/>
                <w:vertAlign w:val="baseline"/>
                <w:lang w:val="en-US" w:eastAsia="zh-CN"/>
              </w:rPr>
              <w:t>30000元</w:t>
            </w:r>
          </w:p>
        </w:tc>
        <w:tc>
          <w:tcPr>
            <w:tcW w:w="1808"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p>
        </w:tc>
        <w:tc>
          <w:tcPr>
            <w:tcW w:w="1236"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三等奖</w:t>
            </w:r>
          </w:p>
        </w:tc>
        <w:tc>
          <w:tcPr>
            <w:tcW w:w="313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MBA联考成绩约前6%的学生</w:t>
            </w:r>
          </w:p>
        </w:tc>
        <w:tc>
          <w:tcPr>
            <w:tcW w:w="1334"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default"/>
                <w:color w:val="333333"/>
                <w:spacing w:val="-3"/>
                <w:vertAlign w:val="baseline"/>
                <w:lang w:val="en-US" w:eastAsia="zh-CN"/>
              </w:rPr>
            </w:pPr>
            <w:r>
              <w:rPr>
                <w:rFonts w:hint="eastAsia"/>
                <w:color w:val="333333"/>
                <w:spacing w:val="-3"/>
                <w:vertAlign w:val="baseline"/>
                <w:lang w:val="en-US" w:eastAsia="zh-CN"/>
              </w:rPr>
              <w:t>10000元</w:t>
            </w:r>
          </w:p>
        </w:tc>
        <w:tc>
          <w:tcPr>
            <w:tcW w:w="1808"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vMerge w:val="restart"/>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MBA联考普惠奖学金</w:t>
            </w:r>
          </w:p>
        </w:tc>
        <w:tc>
          <w:tcPr>
            <w:tcW w:w="1236"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一等奖</w:t>
            </w:r>
          </w:p>
        </w:tc>
        <w:tc>
          <w:tcPr>
            <w:tcW w:w="313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MBA联考成绩超过国家线30分的学生</w:t>
            </w:r>
          </w:p>
        </w:tc>
        <w:tc>
          <w:tcPr>
            <w:tcW w:w="1334"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5000元</w:t>
            </w:r>
          </w:p>
        </w:tc>
        <w:tc>
          <w:tcPr>
            <w:tcW w:w="1808" w:type="dxa"/>
            <w:vMerge w:val="continue"/>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vMerge w:val="continue"/>
            <w:tcBorders>
              <w:top w:val="single" w:color="C0504D" w:sz="8" w:space="0"/>
              <w:left w:val="single" w:color="C0504D" w:sz="8" w:space="0"/>
              <w:bottom w:val="single" w:color="C0504D" w:sz="8" w:space="0"/>
              <w:right w:val="single" w:color="C0504D" w:sz="8" w:space="0"/>
            </w:tcBorders>
            <w:shd w:val="clear" w:color="auto" w:fill="auto"/>
          </w:tcPr>
          <w:p>
            <w:pPr>
              <w:pStyle w:val="2"/>
              <w:spacing w:before="149" w:line="417" w:lineRule="auto"/>
              <w:ind w:right="457"/>
              <w:jc w:val="center"/>
              <w:rPr>
                <w:rFonts w:hint="eastAsia"/>
                <w:color w:val="333333"/>
                <w:spacing w:val="-3"/>
                <w:vertAlign w:val="baseline"/>
                <w:lang w:eastAsia="zh-CN"/>
              </w:rPr>
            </w:pPr>
          </w:p>
        </w:tc>
        <w:tc>
          <w:tcPr>
            <w:tcW w:w="1236"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二等奖</w:t>
            </w:r>
          </w:p>
        </w:tc>
        <w:tc>
          <w:tcPr>
            <w:tcW w:w="313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MBA联考成绩超过国家线20-29分的学生</w:t>
            </w:r>
          </w:p>
        </w:tc>
        <w:tc>
          <w:tcPr>
            <w:tcW w:w="1334"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3000元</w:t>
            </w:r>
          </w:p>
        </w:tc>
        <w:tc>
          <w:tcPr>
            <w:tcW w:w="1808" w:type="dxa"/>
            <w:vMerge w:val="continue"/>
            <w:tcBorders>
              <w:top w:val="single" w:color="C0504D" w:sz="8" w:space="0"/>
              <w:left w:val="single" w:color="C0504D" w:sz="8" w:space="0"/>
              <w:bottom w:val="single" w:color="C0504D" w:sz="8" w:space="0"/>
              <w:right w:val="single" w:color="C0504D" w:sz="8" w:space="0"/>
            </w:tcBorders>
            <w:shd w:val="clear" w:color="auto" w:fill="auto"/>
          </w:tcPr>
          <w:p>
            <w:pPr>
              <w:pStyle w:val="2"/>
              <w:spacing w:before="149" w:line="417" w:lineRule="auto"/>
              <w:ind w:right="457"/>
              <w:jc w:val="center"/>
              <w:rPr>
                <w:rFonts w:hint="eastAsia"/>
                <w:color w:val="333333"/>
                <w:spacing w:val="-3"/>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63" w:type="dxa"/>
            <w:vMerge w:val="continue"/>
            <w:tcBorders>
              <w:top w:val="single" w:color="C0504D" w:sz="8" w:space="0"/>
              <w:left w:val="single" w:color="C0504D" w:sz="8" w:space="0"/>
              <w:bottom w:val="single" w:color="C0504D" w:sz="8" w:space="0"/>
              <w:right w:val="single" w:color="C0504D" w:sz="8" w:space="0"/>
            </w:tcBorders>
            <w:shd w:val="clear" w:color="auto" w:fill="auto"/>
          </w:tcPr>
          <w:p>
            <w:pPr>
              <w:pStyle w:val="2"/>
              <w:spacing w:before="149" w:line="417" w:lineRule="auto"/>
              <w:ind w:right="457"/>
              <w:jc w:val="center"/>
              <w:rPr>
                <w:rFonts w:hint="eastAsia"/>
                <w:color w:val="333333"/>
                <w:spacing w:val="-3"/>
                <w:vertAlign w:val="baseline"/>
                <w:lang w:eastAsia="zh-CN"/>
              </w:rPr>
            </w:pPr>
          </w:p>
        </w:tc>
        <w:tc>
          <w:tcPr>
            <w:tcW w:w="1236"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三等奖</w:t>
            </w:r>
          </w:p>
        </w:tc>
        <w:tc>
          <w:tcPr>
            <w:tcW w:w="3135"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MBA联考成绩超过国家线10-19分的学生</w:t>
            </w:r>
          </w:p>
        </w:tc>
        <w:tc>
          <w:tcPr>
            <w:tcW w:w="1334" w:type="dxa"/>
            <w:tcBorders>
              <w:top w:val="single" w:color="C0504D" w:sz="8" w:space="0"/>
              <w:left w:val="single" w:color="C0504D" w:sz="8" w:space="0"/>
              <w:bottom w:val="single" w:color="C0504D" w:sz="8" w:space="0"/>
              <w:right w:val="single" w:color="C0504D" w:sz="8" w:space="0"/>
            </w:tcBorders>
            <w:shd w:val="clear" w:color="auto" w:fill="auto"/>
            <w:vAlign w:val="center"/>
          </w:tcPr>
          <w:p>
            <w:pPr>
              <w:pStyle w:val="2"/>
              <w:spacing w:before="149" w:line="417" w:lineRule="auto"/>
              <w:ind w:right="61" w:rightChars="0"/>
              <w:jc w:val="center"/>
              <w:rPr>
                <w:rFonts w:hint="eastAsia"/>
                <w:color w:val="333333"/>
                <w:spacing w:val="-3"/>
                <w:vertAlign w:val="baseline"/>
                <w:lang w:val="en-US" w:eastAsia="zh-CN"/>
              </w:rPr>
            </w:pPr>
            <w:r>
              <w:rPr>
                <w:rFonts w:hint="eastAsia"/>
                <w:color w:val="333333"/>
                <w:spacing w:val="-3"/>
                <w:vertAlign w:val="baseline"/>
                <w:lang w:val="en-US" w:eastAsia="zh-CN"/>
              </w:rPr>
              <w:t>1000元</w:t>
            </w:r>
          </w:p>
        </w:tc>
        <w:tc>
          <w:tcPr>
            <w:tcW w:w="1808" w:type="dxa"/>
            <w:vMerge w:val="continue"/>
            <w:tcBorders>
              <w:top w:val="single" w:color="C0504D" w:sz="8" w:space="0"/>
              <w:left w:val="single" w:color="C0504D" w:sz="8" w:space="0"/>
              <w:bottom w:val="single" w:color="C0504D" w:sz="8" w:space="0"/>
              <w:right w:val="single" w:color="C0504D" w:sz="8" w:space="0"/>
            </w:tcBorders>
            <w:shd w:val="clear" w:color="auto" w:fill="auto"/>
          </w:tcPr>
          <w:p>
            <w:pPr>
              <w:pStyle w:val="2"/>
              <w:spacing w:before="149" w:line="417" w:lineRule="auto"/>
              <w:ind w:right="457"/>
              <w:jc w:val="center"/>
              <w:rPr>
                <w:rFonts w:hint="eastAsia"/>
                <w:color w:val="333333"/>
                <w:spacing w:val="-3"/>
                <w:vertAlign w:val="baseline"/>
                <w:lang w:eastAsia="zh-CN"/>
              </w:rPr>
            </w:pPr>
          </w:p>
        </w:tc>
      </w:tr>
    </w:tbl>
    <w:p>
      <w:pPr>
        <w:spacing w:line="360" w:lineRule="auto"/>
        <w:rPr>
          <w:rFonts w:hint="eastAsia"/>
        </w:rPr>
      </w:pPr>
      <w:r>
        <w:rPr>
          <w:rFonts w:hint="eastAsia"/>
        </w:rPr>
        <w:t>（三）学习方式</w:t>
      </w:r>
      <w:bookmarkStart w:id="0" w:name="_GoBack"/>
      <w:bookmarkEnd w:id="0"/>
    </w:p>
    <w:p>
      <w:pPr>
        <w:spacing w:line="360" w:lineRule="auto"/>
        <w:ind w:firstLine="420" w:firstLineChars="200"/>
        <w:rPr>
          <w:rFonts w:hint="eastAsia"/>
        </w:rPr>
      </w:pPr>
      <w:r>
        <w:rPr>
          <w:rFonts w:hint="eastAsia"/>
        </w:rPr>
        <w:t>我校硕士生按其学习方式分为“全日制”和“非全日制”两种。全日制硕士生全脱产在校学习，非全日制硕士生为非脱产学习。非全日制硕士生，学校不解决住宿，无奖助学金，不提供公费医疗，录取前须签订培养协议。</w:t>
      </w:r>
    </w:p>
    <w:p>
      <w:pPr>
        <w:spacing w:line="360" w:lineRule="auto"/>
        <w:rPr>
          <w:rFonts w:hint="eastAsia"/>
        </w:rPr>
      </w:pPr>
      <w:r>
        <w:rPr>
          <w:rFonts w:hint="eastAsia"/>
        </w:rPr>
        <w:t>（四）录取类别</w:t>
      </w:r>
    </w:p>
    <w:p>
      <w:pPr>
        <w:spacing w:line="360" w:lineRule="auto"/>
        <w:ind w:firstLine="420" w:firstLineChars="200"/>
        <w:rPr>
          <w:rFonts w:hint="eastAsia"/>
        </w:rPr>
      </w:pPr>
      <w:r>
        <w:rPr>
          <w:rFonts w:hint="eastAsia"/>
        </w:rPr>
        <w:t>我校硕士生录取类别按其就业方式分为“定向就业”和“非定向就业”两种类型。定向就业硕士生户口和档案不转入我校，录取前须签订培养协议，毕业时不纳入派遣计划，回定向单位就业。非定向硕士生档案必须在规定时间内转入我校，户口可自愿选择是否转入我校（如户口选择转入，须在规定时间内办理，过期将无法转入），毕业时纳入派遣计划，学校为毕业生办理报到证等手续。我校“非全日制”只招收“定向就业”硕士生。</w:t>
      </w:r>
    </w:p>
    <w:p>
      <w:pPr>
        <w:spacing w:line="360" w:lineRule="auto"/>
        <w:rPr>
          <w:rFonts w:hint="eastAsia"/>
          <w:b/>
          <w:bCs/>
        </w:rPr>
      </w:pPr>
      <w:r>
        <w:rPr>
          <w:rFonts w:hint="eastAsia"/>
          <w:b/>
          <w:bCs/>
          <w:lang w:eastAsia="zh-CN"/>
        </w:rPr>
        <w:t>六</w:t>
      </w:r>
      <w:r>
        <w:rPr>
          <w:rFonts w:hint="eastAsia"/>
          <w:b/>
          <w:bCs/>
        </w:rPr>
        <w:t>、联系方式</w:t>
      </w:r>
    </w:p>
    <w:p>
      <w:pPr>
        <w:spacing w:line="360" w:lineRule="auto"/>
        <w:ind w:firstLine="420" w:firstLineChars="200"/>
        <w:rPr>
          <w:rFonts w:hint="eastAsia"/>
        </w:rPr>
      </w:pPr>
      <w:r>
        <w:rPr>
          <w:rFonts w:hint="eastAsia"/>
        </w:rPr>
        <w:t xml:space="preserve">通信地址：北京交通大学经济管理学院 MBA 教育中心（100044） </w:t>
      </w:r>
    </w:p>
    <w:p>
      <w:pPr>
        <w:spacing w:line="360" w:lineRule="auto"/>
        <w:ind w:firstLine="420" w:firstLineChars="200"/>
        <w:rPr>
          <w:rFonts w:hint="eastAsia"/>
        </w:rPr>
      </w:pPr>
      <w:r>
        <w:rPr>
          <w:rFonts w:hint="eastAsia"/>
        </w:rPr>
        <w:t xml:space="preserve">办公地点：北京交通大学思源东楼 504 室 </w:t>
      </w:r>
    </w:p>
    <w:p>
      <w:pPr>
        <w:spacing w:line="360" w:lineRule="auto"/>
        <w:ind w:firstLine="420" w:firstLineChars="200"/>
        <w:rPr>
          <w:rFonts w:hint="eastAsia"/>
        </w:rPr>
      </w:pPr>
      <w:r>
        <w:rPr>
          <w:rFonts w:hint="eastAsia"/>
        </w:rPr>
        <w:t>电 话：（010）5168</w:t>
      </w:r>
      <w:r>
        <w:rPr>
          <w:rFonts w:hint="eastAsia"/>
          <w:lang w:val="en-US" w:eastAsia="zh-CN"/>
        </w:rPr>
        <w:t>8411</w:t>
      </w:r>
      <w:r>
        <w:rPr>
          <w:rFonts w:hint="eastAsia"/>
        </w:rPr>
        <w:t xml:space="preserve"> 5168</w:t>
      </w:r>
      <w:r>
        <w:rPr>
          <w:rFonts w:hint="eastAsia"/>
          <w:lang w:val="en-US" w:eastAsia="zh-CN"/>
        </w:rPr>
        <w:t>4720</w:t>
      </w:r>
      <w:r>
        <w:rPr>
          <w:rFonts w:hint="eastAsia"/>
        </w:rPr>
        <w:t xml:space="preserve"> </w:t>
      </w:r>
    </w:p>
    <w:p>
      <w:pPr>
        <w:spacing w:line="360" w:lineRule="auto"/>
        <w:ind w:firstLine="420" w:firstLineChars="200"/>
        <w:rPr>
          <w:rFonts w:hint="eastAsia"/>
        </w:rPr>
      </w:pPr>
      <w:r>
        <w:rPr>
          <w:rFonts w:hint="eastAsia"/>
        </w:rPr>
        <w:t xml:space="preserve">网址：http://mba.bjtu.edu.cn/ </w:t>
      </w:r>
    </w:p>
    <w:p>
      <w:pPr>
        <w:spacing w:line="360" w:lineRule="auto"/>
        <w:ind w:firstLine="420" w:firstLineChars="200"/>
        <w:rPr>
          <w:rFonts w:hint="eastAsia"/>
        </w:rPr>
      </w:pPr>
      <w:r>
        <w:rPr>
          <w:rFonts w:hint="eastAsia"/>
        </w:rPr>
        <w:t xml:space="preserve">电子邮件：mba@bjtu.edu.cn </w:t>
      </w:r>
    </w:p>
    <w:p>
      <w:pPr>
        <w:spacing w:line="360" w:lineRule="auto"/>
        <w:ind w:firstLine="420" w:firstLineChars="200"/>
        <w:rPr>
          <w:rFonts w:hint="eastAsia" w:eastAsiaTheme="minorEastAsia"/>
          <w:lang w:eastAsia="zh-CN"/>
        </w:rPr>
      </w:pPr>
      <w:r>
        <w:rPr>
          <w:rFonts w:hint="eastAsia"/>
        </w:rPr>
        <w:t>北交</w:t>
      </w:r>
      <w:r>
        <w:rPr>
          <w:rFonts w:hint="eastAsia"/>
          <w:lang w:eastAsia="zh-CN"/>
        </w:rPr>
        <w:t>大</w:t>
      </w:r>
      <w:r>
        <w:rPr>
          <w:rFonts w:hint="eastAsia"/>
        </w:rPr>
        <w:t>2021级MBA 备考交流群 : 1146708711</w:t>
      </w:r>
      <w:r>
        <w:rPr>
          <w:rFonts w:hint="eastAsia"/>
          <w:lang w:eastAsia="zh-CN"/>
        </w:rPr>
        <w:t>、1146821643</w:t>
      </w:r>
    </w:p>
    <w:p>
      <w:pPr>
        <w:spacing w:line="360" w:lineRule="auto"/>
        <w:ind w:firstLine="420" w:firstLineChars="200"/>
        <w:rPr>
          <w:rFonts w:hint="eastAsia"/>
        </w:rPr>
      </w:pPr>
      <w:r>
        <w:rPr>
          <w:rFonts w:hint="eastAsia"/>
        </w:rPr>
        <w:t>微信公众平台：mba_bjtu (北交大 MBA 教育中心)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C25D39"/>
    <w:multiLevelType w:val="singleLevel"/>
    <w:tmpl w:val="1CC25D39"/>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2B0AC8"/>
    <w:rsid w:val="13133845"/>
    <w:rsid w:val="192B0AC8"/>
    <w:rsid w:val="344C53D4"/>
    <w:rsid w:val="49DC37DC"/>
    <w:rsid w:val="5B88591D"/>
    <w:rsid w:val="5DB609B0"/>
    <w:rsid w:val="5F667BAE"/>
    <w:rsid w:val="657F340C"/>
    <w:rsid w:val="6D855A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120"/>
    </w:pPr>
    <w:rPr>
      <w:rFonts w:ascii="宋体" w:hAnsi="宋体" w:eastAsia="宋体" w:cs="宋体"/>
      <w:sz w:val="21"/>
      <w:szCs w:val="21"/>
      <w:lang w:val="zh-CN" w:eastAsia="zh-CN" w:bidi="zh-CN"/>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414</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2020-09-24T03:22:00Z</dcterms:created>
  <dc:creator>#妖怪无脸男</dc:creator>
  <cp:lastModifiedBy>#妖怪无脸男</cp:lastModifiedBy>
  <cp:lastPrinted>2020-09-24T06:18:00Z</cp:lastPrinted>
  <dcterms:modified xsi:type="dcterms:W3CDTF">2020-10-04T02:05:53Z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